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5170188" w:name="document"/>
    <w:bookmarkEnd w:id="5170188"/>
    <w:p/>
    <w:p>
      <w:pPr>
        <w:widowControl w:val="on"/>
        <w:pBdr/>
        <w:spacing w:before="0" w:after="280" w:line="240" w:lineRule="auto"/>
        <w:ind w:left="0" w:right="0"/>
        <w:jc w:val="left"/>
      </w:pPr>
      <w:r>
        <w:rPr>
          <w:rFonts w:ascii="Arial" w:hAnsi="Arial" w:eastAsia="Arial" w:cs="Arial"/>
          <w:color w:val="363A40"/>
          <w:sz w:val="24"/>
          <w:szCs w:val="24"/>
        </w:rPr>
        <w:t xml:space="preserve">Dokument-ID: 488394 | Christoph Naske - FORUM
Media (red) - Albert Scherzer - Karin Zahiragic | Muster |
Vertragsmuster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Kaufvertrag über eine Eigentumswohnung im Rahmen der
Niederlassungsfreiheit gem Wiener Ausländergrunderwerbsgesetz</w:t>
      </w:r>
    </w:p>
    <w:p>
      <w:pPr>
        <w:widowControl w:val="on"/>
        <w:pBdr/>
        <w:spacing w:before="140" w:after="240" w:line="288" w:lineRule="auto"/>
        <w:ind w:left="0" w:right="0"/>
        <w:jc w:val="left"/>
      </w:pPr>
      <w:r>
        <w:rPr>
          <w:rFonts w:ascii="Arial" w:hAnsi="Arial" w:eastAsia="Arial" w:cs="Arial"/>
          <w:b/>
          <w:bCs/>
          <w:color w:val="000000"/>
          <w:sz w:val="20"/>
          <w:szCs w:val="20"/>
        </w:rPr>
        <w:t xml:space="preserve">Vorbemerkungen</w:t>
      </w:r>
      <w:r>
        <w:rPr>
          <w:rFonts w:ascii="Arial" w:hAnsi="Arial" w:eastAsia="Arial" w:cs="Arial"/>
          <w:color w:val="000000"/>
          <w:sz w:val="20"/>
          <w:szCs w:val="20"/>
        </w:rPr>
        <w:br/>
        <w:t xml:space="preserve">Der Vertrag ist darauf abgestimmt, dass als Käufer eine natürliche
Person mit Staatsangehörigkeit eines Mitgliedsstaates der
Europäischen Union auftritt und im Rahmen der
Niederlassungsfreiheit erwirbt.</w:t>
      </w:r>
    </w:p>
    <w:p>
      <w:r>
        <w:pict>
          <v:rect id="_x0000_i1026" style="width:0;height:1.5pt" o:hralign="center" o:hrstd="t" o:hr="t" o:hrnoshade="t" fillcolor="#a0a0a0" stroked="f"/>
        </w:pict>
      </w:r>
    </w:p>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Kaufvertrag</w:t>
      </w:r>
    </w:p>
    <w:p>
      <w:pPr>
        <w:widowControl w:val="on"/>
        <w:pBdr/>
        <w:spacing w:before="140" w:after="240" w:line="288" w:lineRule="auto"/>
        <w:ind w:left="0" w:right="0"/>
        <w:jc w:val="left"/>
      </w:pPr>
      <w:r>
        <w:rPr>
          <w:rFonts w:ascii="Arial" w:hAnsi="Arial" w:eastAsia="Arial" w:cs="Arial"/>
          <w:color w:val="000000"/>
          <w:sz w:val="20"/>
          <w:szCs w:val="20"/>
        </w:rPr>
        <w:t xml:space="preserve">abgeschlossen zwischen</w:t>
      </w:r>
    </w:p>
    <w:p>
      <w:pPr>
        <w:widowControl w:val="on"/>
        <w:pBdr/>
        <w:spacing w:before="140" w:after="240" w:line="288" w:lineRule="auto"/>
        <w:ind w:left="0" w:right="0"/>
        <w:jc w:val="left"/>
      </w:pPr>
      <w:r>
        <w:rPr>
          <w:rFonts w:ascii="Arial" w:hAnsi="Arial" w:eastAsia="Arial" w:cs="Arial"/>
          <w:color w:val="000000"/>
          <w:sz w:val="20"/>
          <w:szCs w:val="20"/>
        </w:rPr>
        <w:t xml:space="preserve">Hans Müller, geboren am 01.09.1941</w:t>
      </w:r>
      <w:r>
        <w:rPr>
          <w:rFonts w:ascii="Arial" w:hAnsi="Arial" w:eastAsia="Arial" w:cs="Arial"/>
          <w:color w:val="000000"/>
          <w:sz w:val="20"/>
          <w:szCs w:val="20"/>
        </w:rPr>
        <w:br/>
        <w:t xml:space="preserve">3100 St. Pölten, Wallseerstraße 13</w:t>
      </w:r>
      <w:r>
        <w:rPr>
          <w:rFonts w:ascii="Arial" w:hAnsi="Arial" w:eastAsia="Arial" w:cs="Arial"/>
          <w:color w:val="000000"/>
          <w:sz w:val="20"/>
          <w:szCs w:val="20"/>
        </w:rPr>
        <w:br/>
        <w:t xml:space="preserve">und</w:t>
      </w:r>
      <w:r>
        <w:rPr>
          <w:rFonts w:ascii="Arial" w:hAnsi="Arial" w:eastAsia="Arial" w:cs="Arial"/>
          <w:color w:val="000000"/>
          <w:sz w:val="20"/>
          <w:szCs w:val="20"/>
        </w:rPr>
        <w:br/>
        <w:t xml:space="preserve">Petra Müller, geboren am 21.08.1973</w:t>
      </w:r>
      <w:r>
        <w:rPr>
          <w:rFonts w:ascii="Arial" w:hAnsi="Arial" w:eastAsia="Arial" w:cs="Arial"/>
          <w:color w:val="000000"/>
          <w:sz w:val="20"/>
          <w:szCs w:val="20"/>
        </w:rPr>
        <w:br/>
        <w:t xml:space="preserve">3100 St. Pölten, Wallseerstraße 13</w:t>
      </w:r>
      <w:r>
        <w:rPr>
          <w:rFonts w:ascii="Arial" w:hAnsi="Arial" w:eastAsia="Arial" w:cs="Arial"/>
          <w:color w:val="000000"/>
          <w:sz w:val="20"/>
          <w:szCs w:val="20"/>
        </w:rPr>
        <w:br/>
        <w:t xml:space="preserve">als „Verkäufer“ einerseits</w:t>
      </w:r>
    </w:p>
    <w:p>
      <w:pPr>
        <w:widowControl w:val="on"/>
        <w:pBdr/>
        <w:spacing w:before="140" w:after="240" w:line="288" w:lineRule="auto"/>
        <w:ind w:left="0" w:right="0"/>
        <w:jc w:val="left"/>
      </w:pPr>
      <w:r>
        <w:rPr>
          <w:rFonts w:ascii="Arial" w:hAnsi="Arial" w:eastAsia="Arial" w:cs="Arial"/>
          <w:color w:val="000000"/>
          <w:sz w:val="20"/>
          <w:szCs w:val="20"/>
        </w:rPr>
        <w:t xml:space="preserve">und</w:t>
      </w:r>
    </w:p>
    <w:p>
      <w:pPr>
        <w:widowControl w:val="on"/>
        <w:pBdr/>
        <w:spacing w:before="140" w:after="240" w:line="288" w:lineRule="auto"/>
        <w:ind w:left="0" w:right="0"/>
        <w:jc w:val="left"/>
      </w:pPr>
      <w:r>
        <w:rPr>
          <w:rFonts w:ascii="Arial" w:hAnsi="Arial" w:eastAsia="Arial" w:cs="Arial"/>
          <w:color w:val="000000"/>
          <w:sz w:val="20"/>
          <w:szCs w:val="20"/>
        </w:rPr>
        <w:t xml:space="preserve">Andrea Gebarsis, geboren am 22.08.1964</w:t>
      </w:r>
      <w:r>
        <w:rPr>
          <w:rFonts w:ascii="Arial" w:hAnsi="Arial" w:eastAsia="Arial" w:cs="Arial"/>
          <w:color w:val="000000"/>
          <w:sz w:val="20"/>
          <w:szCs w:val="20"/>
        </w:rPr>
        <w:br/>
        <w:t xml:space="preserve">Grinzinger Allee 102–104/8/22</w:t>
      </w:r>
      <w:r>
        <w:rPr>
          <w:rFonts w:ascii="Arial" w:hAnsi="Arial" w:eastAsia="Arial" w:cs="Arial"/>
          <w:color w:val="000000"/>
          <w:sz w:val="20"/>
          <w:szCs w:val="20"/>
        </w:rPr>
        <w:br/>
        <w:t xml:space="preserve">1190 Wien</w:t>
      </w:r>
      <w:r>
        <w:rPr>
          <w:rFonts w:ascii="Arial" w:hAnsi="Arial" w:eastAsia="Arial" w:cs="Arial"/>
          <w:color w:val="000000"/>
          <w:sz w:val="20"/>
          <w:szCs w:val="20"/>
        </w:rPr>
        <w:br/>
        <w:t xml:space="preserve">als „Käuferin“ andererseits.</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 Vertragsgegenstand</w:t>
      </w:r>
    </w:p>
    <w:p>
      <w:pPr>
        <w:widowControl w:val="on"/>
        <w:pBdr/>
        <w:spacing w:before="140" w:after="240" w:line="288" w:lineRule="auto"/>
        <w:ind w:left="0" w:right="0"/>
        <w:jc w:val="left"/>
      </w:pPr>
      <w:r>
        <w:rPr>
          <w:rFonts w:ascii="Arial" w:hAnsi="Arial" w:eastAsia="Arial" w:cs="Arial"/>
          <w:color w:val="000000"/>
          <w:sz w:val="20"/>
          <w:szCs w:val="20"/>
        </w:rPr>
        <w:t xml:space="preserve">Hans Müller, geboren am 01.09.1941 und Petra Müller, geboren am
21.08.1973 – im Folgenden „Verkäufer“ genannt – sind Eigentümer
nachstehender Liegenschaftsanteile:</w:t>
      </w:r>
    </w:p>
    <w:p>
      <w:r>
        <w:pict>
          <v:rect id="_x0000_i1026" style="width:0;height:1.5pt" o:hralign="center" o:hrstd="t" o:hr="t" o:hrnoshade="t" fillcolor="#a0a0a0" stroked="f"/>
        </w:pic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GRUNDBUCH 01501 Gersthof</w:t>
            </w:r>
            <w:r>
              <w:rPr>
                <w:rFonts w:ascii="Arial" w:hAnsi="Arial" w:eastAsia="Arial" w:cs="Arial"/>
                <w:color w:val="000000"/>
                <w:position w:val="0"/>
                <w:sz w:val="20"/>
                <w:szCs w:val="20"/>
                <w:shd w:val="clear" w:color="auto" w:fill="FFFFFF"/>
              </w:rPr>
              <w:br/>
              <w:t xml:space="preserve">BEZIRKSGERICHT Döbling</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EINLAGEZAHL 124</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besondere Abschrift</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ABFRAGEDATUM 2019-10-10</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Letzte TZ 4867/2007</w:t>
            </w:r>
            <w:r>
              <w:rPr>
                <w:rFonts w:ascii="Arial" w:hAnsi="Arial" w:eastAsia="Arial" w:cs="Arial"/>
                <w:color w:val="000000"/>
                <w:position w:val="0"/>
                <w:sz w:val="20"/>
                <w:szCs w:val="20"/>
                <w:shd w:val="clear" w:color="auto" w:fill="FFFFFF"/>
              </w:rPr>
              <w:br/>
              <w:t xml:space="preserve">WOHNUNGSEIGENTUM</w:t>
            </w:r>
          </w:p>
        </w:tc>
        <w:tc>
          <w:tcPr>
            <w:tcW w:w="0" w:type="auto"/>
            <w:shd w:val="clear" w:color="auto" w:fill="FFFFFF"/>
            <w:tcMar>
              <w:top w:w="156" w:type="dxa"/>
              <w:left w:w="0" w:type="auto"/>
              <w:bottom w:w="78" w:type="dxa"/>
              <w:right w:w="0" w:type="auto"/>
            </w:tcMar>
            <w:vAlign w:val="top"/>
          </w:tcPr>
          <w:p/>
        </w:tc>
      </w:tr>
    </w:tbl>
    <w:p>
      <w:r>
        <w:pict>
          <v:rect id="_x0000_i1026" style="width:0;height:1.5pt" o:hralign="center" o:hrstd="t" o:hr="t" o:hrnoshade="t" fillcolor="#a0a0a0" stroked="f"/>
        </w:pict>
      </w:r>
    </w:p>
    <w:p>
      <w:pPr>
        <w:widowControl w:val="on"/>
        <w:pBdr/>
        <w:spacing w:before="140" w:after="240" w:line="288" w:lineRule="auto"/>
        <w:ind w:left="0" w:right="0"/>
        <w:jc w:val="center"/>
      </w:pPr>
      <w:r>
        <w:rPr>
          <w:rFonts w:ascii="Arial" w:hAnsi="Arial" w:eastAsia="Arial" w:cs="Arial"/>
          <w:color w:val="000000"/>
          <w:sz w:val="20"/>
          <w:szCs w:val="20"/>
        </w:rPr>
        <w:t xml:space="preserve">A1</w:t>
      </w:r>
    </w:p>
    <w:p>
      <w:r>
        <w:pict>
          <v:rect id="_x0000_i1026" style="width:0;height:1.5pt" o:hralign="center" o:hrstd="t" o:hr="t" o:hrnoshade="t" fillcolor="#a0a0a0" stroked="f"/>
        </w:pic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gridCol w:w="1"/>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GST-NR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BA (NUTZUNG)</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FLÄCHE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GST-ADRESSE</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391/1</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Baufl (Gebäude)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315</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Salierigasse 34</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391/2</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Baufl (Gebäude)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47</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Wallrißstraße 9</w:t>
            </w:r>
          </w:p>
        </w:tc>
      </w:tr>
      <w:tr>
        <w:trPr>
          <w:trHeight w:val="0" w:hRule="atLeast"/>
        </w:trPr>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GESAMTFLÄCHE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362</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bl>
    <w:p>
      <w:r>
        <w:pict>
          <v:rect id="_x0000_i1026" style="width:0;height:1.5pt" o:hralign="center" o:hrstd="t" o:hr="t" o:hrnoshade="t" fillcolor="#a0a0a0" stroked="f"/>
        </w:pict>
      </w:r>
    </w:p>
    <w:p>
      <w:pPr>
        <w:widowControl w:val="on"/>
        <w:pBdr/>
        <w:spacing w:before="140" w:after="240" w:line="288" w:lineRule="auto"/>
        <w:ind w:left="0" w:right="0"/>
        <w:jc w:val="center"/>
      </w:pPr>
      <w:r>
        <w:rPr>
          <w:rFonts w:ascii="Arial" w:hAnsi="Arial" w:eastAsia="Arial" w:cs="Arial"/>
          <w:color w:val="000000"/>
          <w:sz w:val="20"/>
          <w:szCs w:val="20"/>
        </w:rPr>
        <w:t xml:space="preserve">A2</w:t>
      </w:r>
    </w:p>
    <w:p>
      <w:r>
        <w:pict>
          <v:rect id="_x0000_i1026" style="width:0;height:1.5pt" o:hralign="center" o:hrstd="t" o:hr="t" o:hrnoshade="t" fillcolor="#a0a0a0" stroked="f"/>
        </w:pict>
      </w:r>
    </w:p>
    <w:p>
      <w:pPr>
        <w:widowControl w:val="on"/>
        <w:pBdr/>
        <w:spacing w:before="140" w:after="240" w:line="288" w:lineRule="auto"/>
        <w:ind w:left="0" w:right="0"/>
        <w:jc w:val="center"/>
      </w:pPr>
      <w:r>
        <w:rPr>
          <w:rFonts w:ascii="Arial" w:hAnsi="Arial" w:eastAsia="Arial" w:cs="Arial"/>
          <w:color w:val="000000"/>
          <w:sz w:val="20"/>
          <w:szCs w:val="20"/>
        </w:rPr>
        <w:t xml:space="preserve">B</w:t>
      </w:r>
    </w:p>
    <w:p>
      <w:r>
        <w:pict>
          <v:rect id="_x0000_i1026" style="width:0;height:1.5pt" o:hralign="center" o:hrstd="t" o:hr="t" o:hrnoshade="t" fillcolor="#a0a0a0" stroked="f"/>
        </w:pic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ANTEIL: 49/1088</w:t>
            </w:r>
            <w:r>
              <w:rPr>
                <w:rFonts w:ascii="Arial" w:hAnsi="Arial" w:eastAsia="Arial" w:cs="Arial"/>
                <w:color w:val="000000"/>
                <w:position w:val="0"/>
                <w:sz w:val="20"/>
                <w:szCs w:val="20"/>
                <w:shd w:val="clear" w:color="auto" w:fill="FFFFFF"/>
              </w:rPr>
              <w:br/>
              <w:t xml:space="preserve">Müller Hans</w:t>
            </w:r>
            <w:r>
              <w:rPr>
                <w:rFonts w:ascii="Arial" w:hAnsi="Arial" w:eastAsia="Arial" w:cs="Arial"/>
                <w:color w:val="000000"/>
                <w:position w:val="0"/>
                <w:sz w:val="20"/>
                <w:szCs w:val="20"/>
                <w:shd w:val="clear" w:color="auto" w:fill="FFFFFF"/>
              </w:rPr>
              <w:br/>
              <w:t xml:space="preserve">GEB: 1941-09-01 ADR: Wallseerstraße 13 3100</w:t>
            </w:r>
          </w:p>
          <w:tbl>
            <w:tblPr>
              <w:tblStyle w:val="NormalTablePHPDOCX"/>
              <w:tblW w:w="5000" w:type="pct"/>
              <w:tblInd w:w="0" w:type="auto"/>
              <w:tblBorders>
                <w:top w:val="nil" w:color="363A40" w:sz="0"/>
                <w:left w:val="nil" w:color="363A40" w:sz="0"/>
                <w:bottom w:val="nil" w:color="363A40" w:sz="0"/>
                <w:right w:val="nil" w:color="363A40" w:sz="0"/>
              </w:tblBorders>
              <w:shd w:val="clear" w:color="auto" w:fill="FFFFFF"/>
            </w:tblPr>
            <w:tblGrid>
              <w:gridCol w:w="1"/>
              <w:gridCol w:w="1"/>
            </w:tblGrid>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4648/1996 Wohnungseigentum an W 4 samt Stellpl 8</w:t>
                  </w:r>
                </w:p>
              </w:tc>
            </w:tr>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133/1997 IM RANG 11045/1996 Schenkungsvertrag 1996-05-31,
Kaufvertrag 1996-12-04 Eigentumsrecht vorgemerkt</w:t>
                  </w:r>
                </w:p>
              </w:tc>
            </w:tr>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6896/1997 Rechtfertigung</w:t>
                  </w:r>
                </w:p>
              </w:tc>
            </w:tr>
          </w:tbl>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ANTEIL: 49/1088</w:t>
            </w:r>
            <w:r>
              <w:rPr>
                <w:rFonts w:ascii="Arial" w:hAnsi="Arial" w:eastAsia="Arial" w:cs="Arial"/>
                <w:color w:val="000000"/>
                <w:position w:val="0"/>
                <w:sz w:val="20"/>
                <w:szCs w:val="20"/>
                <w:shd w:val="clear" w:color="auto" w:fill="FFFFFF"/>
              </w:rPr>
              <w:br/>
              <w:t xml:space="preserve">Müller Petra</w:t>
            </w:r>
            <w:r>
              <w:rPr>
                <w:rFonts w:ascii="Arial" w:hAnsi="Arial" w:eastAsia="Arial" w:cs="Arial"/>
                <w:color w:val="000000"/>
                <w:position w:val="0"/>
                <w:sz w:val="20"/>
                <w:szCs w:val="20"/>
                <w:shd w:val="clear" w:color="auto" w:fill="FFFFFF"/>
              </w:rPr>
              <w:br/>
              <w:t xml:space="preserve">GEB: 1973-08-21 ADR: Wallseerstraße 13 3100</w:t>
            </w:r>
          </w:p>
          <w:tbl>
            <w:tblPr>
              <w:tblStyle w:val="NormalTablePHPDOCX"/>
              <w:tblW w:w="5000" w:type="pct"/>
              <w:tblInd w:w="0" w:type="auto"/>
              <w:tblBorders>
                <w:top w:val="nil" w:color="363A40" w:sz="0"/>
                <w:left w:val="nil" w:color="363A40" w:sz="0"/>
                <w:bottom w:val="nil" w:color="363A40" w:sz="0"/>
                <w:right w:val="nil" w:color="363A40" w:sz="0"/>
              </w:tblBorders>
              <w:shd w:val="clear" w:color="auto" w:fill="FFFFFF"/>
            </w:tblPr>
            <w:tblGrid>
              <w:gridCol w:w="1"/>
              <w:gridCol w:w="1"/>
            </w:tblGrid>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4648/1996 Wohnungseigentum an W 4 samt Stellpl 8</w:t>
                  </w:r>
                </w:p>
              </w:tc>
            </w:tr>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133/1997 IM RANG 11045/1996 Schenkungsvertrag 1996-05-31,
Kaufvertrag 1996-12-04 Eigentumsrecht vorgemerkt</w:t>
                  </w:r>
                </w:p>
              </w:tc>
            </w:tr>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6896/1997 Rechtfertigung</w:t>
                  </w:r>
                </w:p>
              </w:tc>
            </w:tr>
          </w:tbl>
          <w:p/>
        </w:tc>
      </w:tr>
    </w:tbl>
    <w:p>
      <w:pPr>
        <w:widowControl w:val="on"/>
        <w:pBdr/>
        <w:spacing w:before="140" w:after="240" w:line="288" w:lineRule="auto"/>
        <w:ind w:left="0" w:right="0"/>
        <w:jc w:val="left"/>
      </w:pPr>
      <w:r>
        <w:rPr>
          <w:rFonts w:ascii="Arial" w:hAnsi="Arial" w:eastAsia="Arial" w:cs="Arial"/>
          <w:color w:val="000000"/>
          <w:sz w:val="20"/>
          <w:szCs w:val="20"/>
        </w:rPr>
        <w:t xml:space="preserve">Diese Liegenschaftsanteile, mit den Wohnungseigentum an W 4 samt
Stellplatz 8 untrennbar verbunden sind, bilden nun samt allen damit
verbundenen Rechten und Pflichten, so wie die Verkäufer sie
ausgeübt haben oder ausüben hätten können, den Gegenstand dieses
Kaufvertrages.</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II. Lasten</w:t>
      </w:r>
    </w:p>
    <w:p>
      <w:pPr>
        <w:widowControl w:val="on"/>
        <w:pBdr/>
        <w:spacing w:before="140" w:after="240" w:line="288" w:lineRule="auto"/>
        <w:ind w:left="0" w:right="0"/>
        <w:jc w:val="left"/>
      </w:pPr>
      <w:r>
        <w:rPr>
          <w:rFonts w:ascii="Arial" w:hAnsi="Arial" w:eastAsia="Arial" w:cs="Arial"/>
          <w:color w:val="000000"/>
          <w:sz w:val="20"/>
          <w:szCs w:val="20"/>
        </w:rPr>
        <w:t xml:space="preserve">Ob der kaufgegenständlichen Liegenschaft haften nachstehende
Lasten aus:</w:t>
      </w:r>
    </w:p>
    <w:p>
      <w:r>
        <w:pict>
          <v:rect id="_x0000_i1026" style="width:0;height:1.5pt" o:hralign="center" o:hrstd="t" o:hr="t" o:hrnoshade="t" fillcolor="#a0a0a0" stroked="f"/>
        </w:pict>
      </w:r>
    </w:p>
    <w:p>
      <w:pPr>
        <w:widowControl w:val="on"/>
        <w:pBdr/>
        <w:spacing w:before="140" w:after="240" w:line="288" w:lineRule="auto"/>
        <w:ind w:left="0" w:right="0"/>
        <w:jc w:val="center"/>
      </w:pPr>
      <w:r>
        <w:rPr>
          <w:rFonts w:ascii="Arial" w:hAnsi="Arial" w:eastAsia="Arial" w:cs="Arial"/>
          <w:color w:val="000000"/>
          <w:sz w:val="20"/>
          <w:szCs w:val="20"/>
        </w:rPr>
        <w:t xml:space="preserve">C</w:t>
      </w:r>
    </w:p>
    <w:p>
      <w:r>
        <w:pict>
          <v:rect id="_x0000_i1026" style="width:0;height:1.5pt" o:hralign="center" o:hrstd="t" o:hr="t" o:hrnoshade="t" fillcolor="#a0a0a0" stroked="f"/>
        </w:pict>
      </w:r>
    </w:p>
    <w:tbl>
      <w:tblPr>
        <w:tblStyle w:val="NormalTablePHPDOCX"/>
        <w:tblW w:w="5000" w:type="pct"/>
        <w:tblInd w:w="0" w:type="auto"/>
        <w:tblBorders>
          <w:top w:val="nil" w:color="363A40" w:sz="0"/>
          <w:left w:val="nil" w:color="363A40" w:sz="0"/>
          <w:bottom w:val="nil" w:color="363A40" w:sz="0"/>
          <w:right w:val="nil" w:color="363A40" w:sz="0"/>
        </w:tblBorders>
        <w:shd w:val="clear" w:color="auto" w:fill="FFFFFF"/>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auf Anteil B-LNR 1 2</w:t>
            </w:r>
          </w:p>
          <w:tbl>
            <w:tblPr>
              <w:tblStyle w:val="NormalTablePHPDOCX"/>
              <w:tblW w:w="5000" w:type="pct"/>
              <w:tblInd w:w="0" w:type="auto"/>
              <w:tblBorders>
                <w:top w:val="nil" w:color="363A40" w:sz="0"/>
                <w:left w:val="nil" w:color="363A40" w:sz="0"/>
                <w:bottom w:val="nil" w:color="363A40" w:sz="0"/>
                <w:right w:val="nil" w:color="363A40" w:sz="0"/>
              </w:tblBorders>
              <w:shd w:val="clear" w:color="auto" w:fill="FFFFFF"/>
            </w:tblPr>
            <w:tblGrid>
              <w:gridCol w:w="1"/>
              <w:gridCol w:w="1"/>
            </w:tblGrid>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5193/1998 Pfandurkunde 1998-09-07</w:t>
                  </w:r>
                  <w:r>
                    <w:rPr>
                      <w:rFonts w:ascii="Arial" w:hAnsi="Arial" w:eastAsia="Arial" w:cs="Arial"/>
                      <w:color w:val="000000"/>
                      <w:position w:val="0"/>
                      <w:sz w:val="20"/>
                      <w:szCs w:val="20"/>
                      <w:shd w:val="clear" w:color="auto" w:fill="FFFFFF"/>
                    </w:rPr>
                    <w:br/>
                    <w:t xml:space="preserve">PFANDRECHT Höchstbetrag 2,700.000,00</w:t>
                  </w:r>
                  <w:r>
                    <w:rPr>
                      <w:rFonts w:ascii="Arial" w:hAnsi="Arial" w:eastAsia="Arial" w:cs="Arial"/>
                      <w:color w:val="000000"/>
                      <w:position w:val="0"/>
                      <w:sz w:val="20"/>
                      <w:szCs w:val="20"/>
                      <w:shd w:val="clear" w:color="auto" w:fill="FFFFFF"/>
                    </w:rPr>
                    <w:br/>
                    <w:t xml:space="preserve">für Raiffeisenbank Prinzersdorf registrierte Genossenschaft mit
beschränkter Haftung</w:t>
                  </w:r>
                </w:p>
              </w:tc>
            </w:tr>
          </w:tbl>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5</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auf Anteil B-LNR 1 2</w:t>
            </w:r>
          </w:p>
          <w:tbl>
            <w:tblPr>
              <w:tblStyle w:val="NormalTablePHPDOCX"/>
              <w:tblW w:w="5000" w:type="pct"/>
              <w:tblInd w:w="0" w:type="auto"/>
              <w:tblBorders>
                <w:top w:val="nil" w:color="363A40" w:sz="0"/>
                <w:left w:val="nil" w:color="363A40" w:sz="0"/>
                <w:bottom w:val="nil" w:color="363A40" w:sz="0"/>
                <w:right w:val="nil" w:color="363A40" w:sz="0"/>
              </w:tblBorders>
              <w:shd w:val="clear" w:color="auto" w:fill="FFFFFF"/>
            </w:tblPr>
            <w:tblGrid>
              <w:gridCol w:w="1"/>
              <w:gridCol w:w="1"/>
            </w:tblGrid>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3941/2000 Pfandurkunde 2000-06-26</w:t>
                  </w:r>
                  <w:r>
                    <w:rPr>
                      <w:rFonts w:ascii="Arial" w:hAnsi="Arial" w:eastAsia="Arial" w:cs="Arial"/>
                      <w:color w:val="000000"/>
                      <w:position w:val="0"/>
                      <w:sz w:val="20"/>
                      <w:szCs w:val="20"/>
                      <w:shd w:val="clear" w:color="auto" w:fill="FFFFFF"/>
                    </w:rPr>
                    <w:br/>
                    <w:t xml:space="preserve">PFANDRECHT 500.000,00</w:t>
                  </w:r>
                  <w:r>
                    <w:rPr>
                      <w:rFonts w:ascii="Arial" w:hAnsi="Arial" w:eastAsia="Arial" w:cs="Arial"/>
                      <w:color w:val="000000"/>
                      <w:position w:val="0"/>
                      <w:sz w:val="20"/>
                      <w:szCs w:val="20"/>
                      <w:shd w:val="clear" w:color="auto" w:fill="FFFFFF"/>
                    </w:rPr>
                    <w:br/>
                    <w:t xml:space="preserve">12 % Z, 5 % VuZZ, NGS 100.000,00</w:t>
                  </w:r>
                  <w:r>
                    <w:rPr>
                      <w:rFonts w:ascii="Arial" w:hAnsi="Arial" w:eastAsia="Arial" w:cs="Arial"/>
                      <w:color w:val="000000"/>
                      <w:position w:val="0"/>
                      <w:sz w:val="20"/>
                      <w:szCs w:val="20"/>
                      <w:shd w:val="clear" w:color="auto" w:fill="FFFFFF"/>
                    </w:rPr>
                    <w:br/>
                    <w:t xml:space="preserve">für Raiffeisenbank Prinzersdorf registrierte Genossenschaft mit
beschränkter Haftung</w:t>
                  </w:r>
                </w:p>
              </w:tc>
            </w:tr>
          </w:tbl>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auf Anteil B-LNR 1 2</w:t>
            </w:r>
          </w:p>
          <w:tbl>
            <w:tblPr>
              <w:tblStyle w:val="NormalTablePHPDOCX"/>
              <w:tblW w:w="5000" w:type="pct"/>
              <w:tblInd w:w="0" w:type="auto"/>
              <w:tblBorders>
                <w:top w:val="nil" w:color="363A40" w:sz="0"/>
                <w:left w:val="nil" w:color="363A40" w:sz="0"/>
                <w:bottom w:val="nil" w:color="363A40" w:sz="0"/>
                <w:right w:val="nil" w:color="363A40" w:sz="0"/>
              </w:tblBorders>
              <w:shd w:val="clear" w:color="auto" w:fill="FFFFFF"/>
            </w:tblPr>
            <w:tblGrid>
              <w:gridCol w:w="1"/>
              <w:gridCol w:w="1"/>
            </w:tblGrid>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7293/2000 Pfandurkunde 2000-10-31</w:t>
                  </w:r>
                  <w:r>
                    <w:rPr>
                      <w:rFonts w:ascii="Arial" w:hAnsi="Arial" w:eastAsia="Arial" w:cs="Arial"/>
                      <w:color w:val="000000"/>
                      <w:position w:val="0"/>
                      <w:sz w:val="20"/>
                      <w:szCs w:val="20"/>
                      <w:shd w:val="clear" w:color="auto" w:fill="FFFFFF"/>
                    </w:rPr>
                    <w:br/>
                    <w:t xml:space="preserve">PFANDRECHT 100.000,00</w:t>
                  </w:r>
                  <w:r>
                    <w:rPr>
                      <w:rFonts w:ascii="Arial" w:hAnsi="Arial" w:eastAsia="Arial" w:cs="Arial"/>
                      <w:color w:val="000000"/>
                      <w:position w:val="0"/>
                      <w:sz w:val="20"/>
                      <w:szCs w:val="20"/>
                      <w:shd w:val="clear" w:color="auto" w:fill="FFFFFF"/>
                    </w:rPr>
                    <w:br/>
                    <w:t xml:space="preserve">12 % Z, 5 % VuZZ, NGS 20.000,00</w:t>
                  </w:r>
                  <w:r>
                    <w:rPr>
                      <w:rFonts w:ascii="Arial" w:hAnsi="Arial" w:eastAsia="Arial" w:cs="Arial"/>
                      <w:color w:val="000000"/>
                      <w:position w:val="0"/>
                      <w:sz w:val="20"/>
                      <w:szCs w:val="20"/>
                      <w:shd w:val="clear" w:color="auto" w:fill="FFFFFF"/>
                    </w:rPr>
                    <w:br/>
                    <w:t xml:space="preserve">für Raiffeisenbank Prinzersdorf registrierte Genossenschaft mit
beschränkter Haftung</w:t>
                  </w:r>
                </w:p>
              </w:tc>
            </w:tr>
          </w:tbl>
          <w:p/>
        </w:tc>
      </w:tr>
    </w:tbl>
    <w:p>
      <w:pPr>
        <w:widowControl w:val="on"/>
        <w:pBdr/>
        <w:spacing w:before="140" w:after="240" w:line="288" w:lineRule="auto"/>
        <w:ind w:left="0" w:right="0"/>
        <w:jc w:val="left"/>
      </w:pPr>
      <w:r>
        <w:rPr>
          <w:rFonts w:ascii="Arial" w:hAnsi="Arial" w:eastAsia="Arial" w:cs="Arial"/>
          <w:color w:val="000000"/>
          <w:sz w:val="20"/>
          <w:szCs w:val="20"/>
        </w:rPr>
        <w:t xml:space="preserve">Diese Lasten werden von der Käuferin
nicht übernommen. Die Pfandrechte sub C-LNR 4a, 5a und 6a werden
zulasten des Kaufpreises gelöscht.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III. Übergabe/Übernahme</w:t>
      </w:r>
    </w:p>
    <w:p>
      <w:pPr>
        <w:widowControl w:val="on"/>
        <w:pBdr/>
        <w:spacing w:before="140" w:after="240" w:line="288" w:lineRule="auto"/>
        <w:ind w:left="0" w:right="0"/>
        <w:jc w:val="left"/>
      </w:pPr>
      <w:r>
        <w:rPr>
          <w:rFonts w:ascii="Arial" w:hAnsi="Arial" w:eastAsia="Arial" w:cs="Arial"/>
          <w:color w:val="000000"/>
          <w:sz w:val="20"/>
          <w:szCs w:val="20"/>
        </w:rPr>
        <w:t xml:space="preserve">Die Verkäufer verkaufen und übergeben nun an Andrea Gebarsis,
geboren am 22.08.1964 – im Folgenden kurz „Käuferin“ genannt – und
diese kauft und übernimmt nun den in Pkt I. näher genannten
Vertragsgegenstand.</w:t>
      </w:r>
    </w:p>
    <w:p>
      <w:pPr>
        <w:widowControl w:val="on"/>
        <w:pBdr/>
        <w:spacing w:before="140" w:after="240" w:line="288" w:lineRule="auto"/>
        <w:ind w:left="0" w:right="0"/>
        <w:jc w:val="left"/>
      </w:pPr>
      <w:r>
        <w:rPr>
          <w:rFonts w:ascii="Arial" w:hAnsi="Arial" w:eastAsia="Arial" w:cs="Arial"/>
          <w:color w:val="000000"/>
          <w:sz w:val="20"/>
          <w:szCs w:val="20"/>
        </w:rPr>
        <w:t xml:space="preserve">Die tatsächliche Übergabe erfolgt binnen drei Wochen nach
Eingang des Kaufpreises sowie Nebengebühren beim Treuhänder durch
Übergabe sämtlicher das Objekt sperrender Schlüssel.</w:t>
      </w:r>
    </w:p>
    <w:p>
      <w:pPr>
        <w:widowControl w:val="on"/>
        <w:pBdr/>
        <w:spacing w:before="140" w:after="240" w:line="288" w:lineRule="auto"/>
        <w:ind w:left="0" w:right="0"/>
        <w:jc w:val="left"/>
      </w:pPr>
      <w:r>
        <w:rPr>
          <w:rFonts w:ascii="Arial" w:hAnsi="Arial" w:eastAsia="Arial" w:cs="Arial"/>
          <w:color w:val="000000"/>
          <w:sz w:val="20"/>
          <w:szCs w:val="20"/>
        </w:rPr>
        <w:t xml:space="preserve">Die Übergabe erfolgt vollständig geräumt von eigenen Fahrnissen
der Verkäufer. Sollte die Liegenschaft sich am hier vorgesehenen
Tag der Übergabe nicht in einem vollständig geräumten und
besenreinen Zustand befinden, ist die Käuferin berechtigt,
sämtliche noch in der Liegenschaft befindlichen Fahrnisse aus der
Liegenschaft zu entfernen und zu entsorgen. Die Verkäufer
verpflichten sich, der Käuferin alle dadurch entstehenden Kosten zu
ersetzen.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IV. Vertragsstichtag</w:t>
      </w:r>
    </w:p>
    <w:p>
      <w:pPr>
        <w:widowControl w:val="on"/>
        <w:pBdr/>
        <w:spacing w:before="140" w:after="240" w:line="288" w:lineRule="auto"/>
        <w:ind w:left="0" w:right="0"/>
        <w:jc w:val="left"/>
      </w:pPr>
      <w:r>
        <w:rPr>
          <w:rFonts w:ascii="Arial" w:hAnsi="Arial" w:eastAsia="Arial" w:cs="Arial"/>
          <w:color w:val="000000"/>
          <w:sz w:val="20"/>
          <w:szCs w:val="20"/>
        </w:rPr>
        <w:t xml:space="preserve">Als Übergang von Nutzen und Lasten, Gefahr und Zufall
vereinbaren die Vertragsteile den Tag der tatsächlichen Übergabe.
Bis dahin entstandene Lasten haben noch die Verkäufer zu tragen,
danach entstehende Verbindlichkeiten fallen der Käuferin zur
Last.</w:t>
      </w:r>
    </w:p>
    <w:p>
      <w:pPr>
        <w:widowControl w:val="on"/>
        <w:pBdr/>
        <w:spacing w:before="0" w:after="105" w:line="288" w:lineRule="auto"/>
        <w:ind w:left="0" w:right="0"/>
        <w:jc w:val="left"/>
      </w:pPr>
      <w:r>
        <w:rPr>
          <w:rFonts w:ascii="Arial" w:hAnsi="Arial" w:eastAsia="Arial" w:cs="Arial"/>
          <w:b/>
          <w:bCs/>
          <w:color w:val="277DB9"/>
          <w:sz w:val="25"/>
          <w:szCs w:val="25"/>
        </w:rPr>
        <w:t xml:space="preserve">Variante:</w:t>
      </w:r>
    </w:p>
    <w:p>
      <w:pPr>
        <w:widowControl w:val="on"/>
        <w:pBdr/>
        <w:spacing w:before="140" w:after="240" w:line="288" w:lineRule="auto"/>
        <w:ind w:left="0" w:right="0"/>
        <w:jc w:val="left"/>
      </w:pPr>
      <w:r>
        <w:rPr>
          <w:rFonts w:ascii="Arial" w:hAnsi="Arial" w:eastAsia="Arial" w:cs="Arial"/>
          <w:color w:val="277DB9"/>
          <w:sz w:val="20"/>
          <w:szCs w:val="20"/>
        </w:rPr>
        <w:t xml:space="preserve">Ein allfälliges Guthaben bzw ein allfälliger Rückstand der
Verkäufer aus einem Reparatur- bzw Instandhaltungsfonds oder aus
einer Betriebskostenabrechnung steht ohne weitere Verrechnung der
Käuferin zu bzw geht ohne weitere Verrechnung zu ihren Lasten.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 Kaufpreis</w:t>
      </w:r>
    </w:p>
    <w:p>
      <w:pPr>
        <w:widowControl w:val="on"/>
        <w:pBdr/>
        <w:spacing w:before="140" w:after="240" w:line="288" w:lineRule="auto"/>
        <w:ind w:left="0" w:right="0"/>
        <w:jc w:val="left"/>
      </w:pPr>
      <w:r>
        <w:rPr>
          <w:rFonts w:ascii="Arial" w:hAnsi="Arial" w:eastAsia="Arial" w:cs="Arial"/>
          <w:color w:val="000000"/>
          <w:sz w:val="20"/>
          <w:szCs w:val="20"/>
        </w:rPr>
        <w:t xml:space="preserve">Der Kaufpreis beträgt EUR 215.000,– (in Worten:
zweihundertfünfzehntausend Euro).</w:t>
      </w:r>
    </w:p>
    <w:p>
      <w:pPr>
        <w:widowControl w:val="on"/>
        <w:pBdr/>
        <w:spacing w:before="140" w:after="240" w:line="288" w:lineRule="auto"/>
        <w:ind w:left="0" w:right="0"/>
        <w:jc w:val="left"/>
      </w:pPr>
      <w:r>
        <w:rPr>
          <w:rFonts w:ascii="Arial" w:hAnsi="Arial" w:eastAsia="Arial" w:cs="Arial"/>
          <w:color w:val="000000"/>
          <w:sz w:val="20"/>
          <w:szCs w:val="20"/>
        </w:rPr>
        <w:t xml:space="preserve">Der Kaufpreis ist von der Käuferin innerhalb von drei Wochen
nach Unterfertigung dieses Vertrages auf ein vom Vertragserrichter
und Treuhänder Rechtsanwalt Dr. Hans-Peter Musteranwalt unter den
Regeln des elektronischen anwaltlichen Treuhandbuches geführtes
Anderkonto bei der Uni-Credit Bank Austria (BLZ 12000) mit der
Kontonummer 00000000000000000 zu überweisen. Für den Fall des
Verzuges werden Verzugszinsen in Höhe von 8 % pa
vereinbart.</w:t>
      </w:r>
    </w:p>
    <w:p>
      <w:pPr>
        <w:widowControl w:val="on"/>
        <w:pBdr/>
        <w:spacing w:before="140" w:after="240" w:line="288" w:lineRule="auto"/>
        <w:ind w:left="0" w:right="0"/>
        <w:jc w:val="left"/>
      </w:pPr>
      <w:r>
        <w:rPr>
          <w:rFonts w:ascii="Arial" w:hAnsi="Arial" w:eastAsia="Arial" w:cs="Arial"/>
          <w:color w:val="000000"/>
          <w:sz w:val="20"/>
          <w:szCs w:val="20"/>
        </w:rPr>
        <w:t xml:space="preserve">Weiters hat die Käuferin binnen gleicher Frist den für
Grunderwerbsteuer und Eintragungsgebühr erforderlichen Betrag von
EUR 9.890,– (in Worten: neuntausendachthundertneunzig Euro)
auf das vom genannten Vertragserrichter geführte allgemeine
Anderkonto 000000000000000 bei der Uni-Credit Bank Austria, BLZ
12000 zu überweisen.</w:t>
      </w:r>
    </w:p>
    <w:p>
      <w:pPr>
        <w:widowControl w:val="on"/>
        <w:pBdr/>
        <w:spacing w:before="140" w:after="240" w:line="288" w:lineRule="auto"/>
        <w:ind w:left="0" w:right="0"/>
        <w:jc w:val="left"/>
      </w:pPr>
      <w:r>
        <w:rPr>
          <w:rFonts w:ascii="Arial" w:hAnsi="Arial" w:eastAsia="Arial" w:cs="Arial"/>
          <w:color w:val="000000"/>
          <w:sz w:val="20"/>
          <w:szCs w:val="20"/>
        </w:rPr>
        <w:t xml:space="preserve">Die Vertragsparteien bestellen nun Rechtsanwalt Dr. Hans-Peter
Musteranwalt, Musterstraße 25, 1010 Wien einseitig nicht
widerrufbar zum gemeinsamen Treuhänder mit dem Auftrag</w:t>
      </w:r>
    </w:p>
    <w:p>
      <w:pPr>
        <w:numPr>
          <w:ilvl w:val="0"/>
          <w:numId w:val="98541310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nach Erhalt des Beschlusses über die Anmerkung der Rangordnung
für die Veräußerung (sonst unveränderter Grundbuchstand
vorausgesetzt),</w:t>
      </w:r>
    </w:p>
    <w:p>
      <w:pPr>
        <w:numPr>
          <w:ilvl w:val="0"/>
          <w:numId w:val="98541310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nach Eingang des Kaufpreises und der Nebenkosten auf dem
Treuhandkonto,</w:t>
      </w:r>
    </w:p>
    <w:p>
      <w:pPr>
        <w:widowControl w:val="on"/>
        <w:pBdr/>
        <w:spacing w:before="140" w:after="240" w:line="288" w:lineRule="auto"/>
        <w:ind w:left="0" w:right="0"/>
        <w:jc w:val="left"/>
      </w:pPr>
      <w:r>
        <w:rPr>
          <w:rFonts w:ascii="Arial" w:hAnsi="Arial" w:eastAsia="Arial" w:cs="Arial"/>
          <w:color w:val="000000"/>
          <w:sz w:val="20"/>
          <w:szCs w:val="20"/>
        </w:rPr>
        <w:t xml:space="preserve">zunächst die zur Lastenfreistellung erforderlichen Beträge an
die Pfandgläubiger auszuzahlen und</w:t>
      </w:r>
    </w:p>
    <w:p>
      <w:pPr>
        <w:numPr>
          <w:ilvl w:val="0"/>
          <w:numId w:val="24678912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nach Einverleibung des lastenfreien Eigentumsrechts der
Käuferin</w:t>
      </w:r>
    </w:p>
    <w:p>
      <w:pPr>
        <w:widowControl w:val="on"/>
        <w:pBdr/>
        <w:spacing w:before="140" w:after="240" w:line="288" w:lineRule="auto"/>
        <w:ind w:left="0" w:right="0"/>
        <w:jc w:val="left"/>
      </w:pPr>
      <w:r>
        <w:rPr>
          <w:rFonts w:ascii="Arial" w:hAnsi="Arial" w:eastAsia="Arial" w:cs="Arial"/>
          <w:color w:val="000000"/>
          <w:sz w:val="20"/>
          <w:szCs w:val="20"/>
        </w:rPr>
        <w:t xml:space="preserve">den Kaufpreis samt bis dahin angereifter Zinsen jedoch abzüglich
Kapitalertragsteuer und Bankspesen auf ein von den Verkäufern
bekanntzugebendes Konto auszuzahlen.</w:t>
      </w:r>
    </w:p>
    <w:p>
      <w:pPr>
        <w:widowControl w:val="on"/>
        <w:pBdr/>
        <w:spacing w:before="140" w:after="240" w:line="288" w:lineRule="auto"/>
        <w:ind w:left="0" w:right="0"/>
        <w:jc w:val="left"/>
      </w:pPr>
      <w:r>
        <w:rPr>
          <w:rFonts w:ascii="Arial" w:hAnsi="Arial" w:eastAsia="Arial" w:cs="Arial"/>
          <w:color w:val="000000"/>
          <w:sz w:val="20"/>
          <w:szCs w:val="20"/>
        </w:rPr>
        <w:t xml:space="preserve">Sollte der Kaufpreis nicht pünktlich auf dem Treuhandkonto
eintreffen, können die Verkäufer unbeschadet allfälliger
Schadenersatzansprüche unter Setzung einer Nachfrist von einer
Woche vom Vertrag durch schriftliche Erklärung an die Käuferin zu
Handen des Treuhänders (und nur in dieser Weise) zurücktreten.</w:t>
      </w:r>
    </w:p>
    <w:p>
      <w:pPr>
        <w:widowControl w:val="on"/>
        <w:pBdr/>
        <w:spacing w:before="140" w:after="240" w:line="288" w:lineRule="auto"/>
        <w:ind w:left="0" w:right="0"/>
        <w:jc w:val="left"/>
      </w:pPr>
      <w:r>
        <w:rPr>
          <w:rFonts w:ascii="Arial" w:hAnsi="Arial" w:eastAsia="Arial" w:cs="Arial"/>
          <w:color w:val="000000"/>
          <w:sz w:val="20"/>
          <w:szCs w:val="20"/>
        </w:rPr>
        <w:t xml:space="preserve">Der Vertragserrichter hat diesen Kaufvertrag gem § 10
GrEStG beim Finanzamt für Gebühren, Verkehrssteuern und Glücksspiel
anzuzeigen oder eine Selbstberechnung der Grunderwerbsteuer und
Eintragungsgebühr gem § 12 GrEStG vorzunehmen sowie die
genannten Abgaben aus dem Treuhanderlag an das zuständige Finanzamt
abzuführen. Der Vertragserrichter wird von den Vertragsparteien
dazu ausdrücklich bevollmächtigt und beauftragt.</w:t>
      </w:r>
    </w:p>
    <w:p>
      <w:pPr>
        <w:widowControl w:val="on"/>
        <w:pBdr/>
        <w:spacing w:before="140" w:after="240" w:line="288" w:lineRule="auto"/>
        <w:ind w:left="0" w:right="0"/>
        <w:jc w:val="left"/>
      </w:pPr>
      <w:r>
        <w:rPr>
          <w:rFonts w:ascii="Arial" w:hAnsi="Arial" w:eastAsia="Arial" w:cs="Arial"/>
          <w:color w:val="000000"/>
          <w:sz w:val="20"/>
          <w:szCs w:val="20"/>
        </w:rPr>
        <w:t xml:space="preserve">Die Verkäufer und die Käuferin nehmen zur Kenntnis, dass durch
diesen Vertrag lediglich der vertragskonforme Liegenschaftserwerb
der Käuferin und die vertragskonforme Verwendung des Kaufpreises
abgesichert wird.</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VI. Gewährleistung</w:t>
      </w:r>
    </w:p>
    <w:p>
      <w:pPr>
        <w:widowControl w:val="on"/>
        <w:pBdr/>
        <w:spacing w:before="140" w:after="240" w:line="288" w:lineRule="auto"/>
        <w:ind w:left="0" w:right="0"/>
        <w:jc w:val="left"/>
      </w:pPr>
      <w:r>
        <w:rPr>
          <w:rFonts w:ascii="Arial" w:hAnsi="Arial" w:eastAsia="Arial" w:cs="Arial"/>
          <w:color w:val="000000"/>
          <w:sz w:val="20"/>
          <w:szCs w:val="20"/>
        </w:rPr>
        <w:t xml:space="preserve">Die Käuferin hat den Vertragsgegenstand eingehend besichtigt und
ist über dessen Zustand in Kenntnis.</w:t>
      </w:r>
    </w:p>
    <w:p>
      <w:pPr>
        <w:widowControl w:val="on"/>
        <w:pBdr/>
        <w:spacing w:before="140" w:after="240" w:line="288" w:lineRule="auto"/>
        <w:ind w:left="0" w:right="0"/>
        <w:jc w:val="left"/>
      </w:pPr>
      <w:r>
        <w:rPr>
          <w:rFonts w:ascii="Arial" w:hAnsi="Arial" w:eastAsia="Arial" w:cs="Arial"/>
          <w:color w:val="000000"/>
          <w:sz w:val="20"/>
          <w:szCs w:val="20"/>
        </w:rPr>
        <w:t xml:space="preserve">Die Verkäufer übernehmen keine Gewähr für einen bestimmten
Zustand oder eine bestimmte Beschaffenheit und Verwendungsfähigkeit
des Vertragsgegenstandes, wohl aber dafür, dass dieser völlig
bestandfrei und frei von sonstigen bücherlichen oder
außerbücherlichen Lasten wie auch Dienstbarkeiten, Reallasten und
dergleichen ist, sowie dass der Vertragsgegenstand ihr unbelastetes
Eigentum ist und lastenfrei in das Eigentum der Käuferin übergehen
kann.</w:t>
      </w:r>
    </w:p>
    <w:p>
      <w:pPr>
        <w:widowControl w:val="on"/>
        <w:pBdr/>
        <w:spacing w:before="140" w:after="240" w:line="288" w:lineRule="auto"/>
        <w:ind w:left="0" w:right="0"/>
        <w:jc w:val="left"/>
      </w:pPr>
      <w:r>
        <w:rPr>
          <w:rFonts w:ascii="Arial" w:hAnsi="Arial" w:eastAsia="Arial" w:cs="Arial"/>
          <w:color w:val="000000"/>
          <w:sz w:val="20"/>
          <w:szCs w:val="20"/>
        </w:rPr>
        <w:t xml:space="preserve">Die Verkäufer erklären, dass sich die technischen Einrichtungen
und Leitungen in brauchbarem Zustand befinden. Weiters wird
zugesichert, dass keine Bauaufträge bestehen und das Objekt nicht
unter Denkmalschutz steht.</w:t>
      </w:r>
    </w:p>
    <w:p>
      <w:pPr>
        <w:widowControl w:val="on"/>
        <w:pBdr/>
        <w:spacing w:before="140" w:after="240" w:line="288" w:lineRule="auto"/>
        <w:ind w:left="0" w:right="0"/>
        <w:jc w:val="left"/>
      </w:pPr>
      <w:r>
        <w:rPr>
          <w:rFonts w:ascii="Arial" w:hAnsi="Arial" w:eastAsia="Arial" w:cs="Arial"/>
          <w:color w:val="000000"/>
          <w:sz w:val="20"/>
          <w:szCs w:val="20"/>
        </w:rPr>
        <w:t xml:space="preserve">Die Verkäufer übernehmen ferner die Haftung dafür, dass im
Zusammenhang mit der vertragsgegenständlichen Wohnung keine offenen
Versicherungsprämien, Betriebskosten, Steuern oder sonstige
Abgaben, welcher Art auch immer, bestehen.</w:t>
      </w:r>
    </w:p>
    <w:p>
      <w:pPr>
        <w:widowControl w:val="on"/>
        <w:pBdr/>
        <w:spacing w:before="140" w:after="240" w:line="288" w:lineRule="auto"/>
        <w:ind w:left="0" w:right="0"/>
        <w:jc w:val="left"/>
      </w:pPr>
      <w:r>
        <w:rPr>
          <w:rFonts w:ascii="Arial" w:hAnsi="Arial" w:eastAsia="Arial" w:cs="Arial"/>
          <w:color w:val="000000"/>
          <w:sz w:val="20"/>
          <w:szCs w:val="20"/>
        </w:rPr>
        <w:t xml:space="preserve">Hinsichtlich der mitverkauften Einrichtung erklären die
Verkäufer, dass zum Zeitpunkt der Übergabe alle Geräte
funktionstüchtig sind. Eine darüber hinausgehende Gewährleistung
wird ausgeschlossen.</w:t>
      </w:r>
    </w:p>
    <w:p>
      <w:pPr>
        <w:widowControl w:val="on"/>
        <w:pBdr/>
        <w:spacing w:before="140" w:after="240" w:line="288" w:lineRule="auto"/>
        <w:ind w:left="0" w:right="0"/>
        <w:jc w:val="left"/>
      </w:pPr>
      <w:r>
        <w:rPr>
          <w:rFonts w:ascii="Arial" w:hAnsi="Arial" w:eastAsia="Arial" w:cs="Arial"/>
          <w:color w:val="000000"/>
          <w:sz w:val="20"/>
          <w:szCs w:val="20"/>
        </w:rPr>
        <w:t xml:space="preserve">Die Parteien halten fest, dass wesentliche Voraussetzung für den
Kaufvertrag die Bestandsfreiheit ist. Die Verkäufer garantieren
nun, dass keine aufrechten Bestandverhältnisse oder sonstigen
Nutzungsrechte Dritter an der Liegenschaft bestehen. Sollten nach
Vertragsabschluss derartige Rechte von Dritten behauptet werden, so
steht der Käuferin das Recht zu, vom Vertrag zurückzutreten.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VII.
Vertragsverfasser/Vollmacht</w:t>
      </w:r>
    </w:p>
    <w:p>
      <w:pPr>
        <w:widowControl w:val="on"/>
        <w:pBdr/>
        <w:spacing w:before="140" w:after="240" w:line="288" w:lineRule="auto"/>
        <w:ind w:left="0" w:right="0"/>
        <w:jc w:val="left"/>
      </w:pPr>
      <w:r>
        <w:rPr>
          <w:rFonts w:ascii="Arial" w:hAnsi="Arial" w:eastAsia="Arial" w:cs="Arial"/>
          <w:color w:val="000000"/>
          <w:sz w:val="20"/>
          <w:szCs w:val="20"/>
        </w:rPr>
        <w:t xml:space="preserve">Sämtliche Vertragsteile erteilen dem Verfasser dieses Vertrages,
Rechtsanwalt Dr. Hans-Peter Musteranwalt, 1010 Wien, Musterstraße
25, Vollmacht und Auftrag, zu diesem Vertrag Nachträge zu
errichten, sofern dies zur vertragskonformen Herstellung der
Grundbuchsordnung notwendig oder doch zweckmäßig ist.</w:t>
      </w:r>
    </w:p>
    <w:p>
      <w:pPr>
        <w:widowControl w:val="on"/>
        <w:pBdr/>
        <w:spacing w:before="140" w:after="240" w:line="288" w:lineRule="auto"/>
        <w:ind w:left="0" w:right="0"/>
        <w:jc w:val="left"/>
      </w:pPr>
      <w:r>
        <w:rPr>
          <w:rFonts w:ascii="Arial" w:hAnsi="Arial" w:eastAsia="Arial" w:cs="Arial"/>
          <w:color w:val="000000"/>
          <w:sz w:val="20"/>
          <w:szCs w:val="20"/>
        </w:rPr>
        <w:t xml:space="preserve">Die Vertragsparteien bevollmächtigen den genannten Rechtsanwalt
hiermit unwiderruflich und über ihren Tod hinaus, alle Erklärungen
und Ergänzungen dieses Kaufvertrages und der Aufsandungserklärung
vorzunehmen, die zu einer etwa erforderlichen
grundverkehrsbehördlichen Genehmigung und zur grundbücherlichen
Durchführung notwendig sind.</w:t>
      </w:r>
    </w:p>
    <w:p>
      <w:pPr>
        <w:widowControl w:val="on"/>
        <w:pBdr/>
        <w:spacing w:before="140" w:after="240" w:line="288" w:lineRule="auto"/>
        <w:ind w:left="0" w:right="0"/>
        <w:jc w:val="left"/>
      </w:pPr>
      <w:r>
        <w:rPr>
          <w:rFonts w:ascii="Arial" w:hAnsi="Arial" w:eastAsia="Arial" w:cs="Arial"/>
          <w:color w:val="000000"/>
          <w:sz w:val="20"/>
          <w:szCs w:val="20"/>
        </w:rPr>
        <w:t xml:space="preserve">Weiters erteilen die Vertragsparteien genanntem Rechtsanwalt
überhaupt die Vollmacht, sie im Zusammenhang mit der Abwicklung
dieses Vertrages gegenüber Gerichten und Behörden sowie
Kreditinstitute zu vertreten und entbinden Letztere vom
Bankgeheimnis.</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VIII. Abgaben, Gebühren, Kosten</w:t>
      </w:r>
    </w:p>
    <w:p>
      <w:pPr>
        <w:widowControl w:val="on"/>
        <w:pBdr/>
        <w:spacing w:before="140" w:after="240" w:line="288" w:lineRule="auto"/>
        <w:ind w:left="0" w:right="0"/>
        <w:jc w:val="left"/>
      </w:pPr>
      <w:r>
        <w:rPr>
          <w:rFonts w:ascii="Arial" w:hAnsi="Arial" w:eastAsia="Arial" w:cs="Arial"/>
          <w:color w:val="000000"/>
          <w:sz w:val="20"/>
          <w:szCs w:val="20"/>
        </w:rPr>
        <w:t xml:space="preserve">Sämtliche mit der Errichtung und Durchführung dieses Vertrages
verbundenen Gebühren (Gerichtsgebühren, Legalisierungsgebühren etc)
sowie die Grunderwerbsteuer und Eintragungsgebühr trägt die
Käuferin.</w:t>
      </w:r>
    </w:p>
    <w:p>
      <w:pPr>
        <w:widowControl w:val="on"/>
        <w:pBdr/>
        <w:spacing w:before="140" w:after="240" w:line="288" w:lineRule="auto"/>
        <w:ind w:left="0" w:right="0"/>
        <w:jc w:val="left"/>
      </w:pPr>
      <w:r>
        <w:rPr>
          <w:rFonts w:ascii="Arial" w:hAnsi="Arial" w:eastAsia="Arial" w:cs="Arial"/>
          <w:color w:val="000000"/>
          <w:sz w:val="20"/>
          <w:szCs w:val="20"/>
        </w:rPr>
        <w:t xml:space="preserve">Die Kosten der Errichtung dieses Kaufvertrages, der
Treuhandschaft und der grundbücherlichen Durchführung trägt die
Käuferin.</w:t>
      </w:r>
    </w:p>
    <w:p>
      <w:pPr>
        <w:widowControl w:val="on"/>
        <w:pBdr/>
        <w:spacing w:before="140" w:after="240" w:line="288" w:lineRule="auto"/>
        <w:ind w:left="0" w:right="0"/>
        <w:jc w:val="left"/>
      </w:pPr>
      <w:r>
        <w:rPr>
          <w:rFonts w:ascii="Arial" w:hAnsi="Arial" w:eastAsia="Arial" w:cs="Arial"/>
          <w:color w:val="000000"/>
          <w:sz w:val="20"/>
          <w:szCs w:val="20"/>
        </w:rPr>
        <w:t xml:space="preserve">Die Kosten im Zusammenhang mit einer allfälligen
Selbstberechnung der Immobilienertragssteuer tragen die
Verkäufer.</w:t>
      </w:r>
    </w:p>
    <w:p>
      <w:pPr>
        <w:widowControl w:val="on"/>
        <w:pBdr/>
        <w:spacing w:before="140" w:after="240" w:line="288" w:lineRule="auto"/>
        <w:ind w:left="0" w:right="0"/>
        <w:jc w:val="left"/>
      </w:pPr>
      <w:r>
        <w:rPr>
          <w:rFonts w:ascii="Arial" w:hAnsi="Arial" w:eastAsia="Arial" w:cs="Arial"/>
          <w:color w:val="000000"/>
          <w:sz w:val="20"/>
          <w:szCs w:val="20"/>
        </w:rPr>
        <w:t xml:space="preserve">Die Kosten einer allfälligen rechtlichen Beratung und Vertretung
der Verkäuferseite übernehmen die Verkäufer.</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IX. Aufsandungserklärung</w:t>
      </w:r>
    </w:p>
    <w:p>
      <w:pPr>
        <w:widowControl w:val="on"/>
        <w:pBdr/>
        <w:spacing w:before="140" w:after="240" w:line="288" w:lineRule="auto"/>
        <w:ind w:left="0" w:right="0"/>
        <w:jc w:val="left"/>
      </w:pPr>
      <w:r>
        <w:rPr>
          <w:rFonts w:ascii="Arial" w:hAnsi="Arial" w:eastAsia="Arial" w:cs="Arial"/>
          <w:color w:val="000000"/>
          <w:sz w:val="20"/>
          <w:szCs w:val="20"/>
        </w:rPr>
        <w:t xml:space="preserve">Sohin erteilen Hans Müller, geboren am 01.09.1941 und Petra
Müller, geboren am 21.08.1973 ihre Einwilligung, dass aufgrund
dieses Vertrages ob nachstehender Liegenschaft:</w:t>
      </w:r>
    </w:p>
    <w:p>
      <w:r>
        <w:pict>
          <v:rect id="_x0000_i1026" style="width:0;height:1.5pt" o:hralign="center" o:hrstd="t" o:hr="t" o:hrnoshade="t" fillcolor="#a0a0a0" stroked="f"/>
        </w:pict>
      </w:r>
    </w:p>
    <w:tbl>
      <w:tblPr>
        <w:tblStyle w:val="NormalTablePHPDOCX"/>
        <w:tblW w:w="5000" w:type="pct"/>
        <w:tblInd w:w="0" w:type="auto"/>
        <w:tblBorders>
          <w:top w:val="nil" w:color="363A40" w:sz="0"/>
          <w:left w:val="nil" w:color="363A40" w:sz="0"/>
          <w:bottom w:val="nil" w:color="363A40" w:sz="0"/>
          <w:right w:val="nil" w:color="363A40" w:sz="0"/>
        </w:tblBorders>
        <w:shd w:val="clear" w:color="auto" w:fill="FFFFFF"/>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GRUNDBUCH 01501 Gersthof</w:t>
            </w:r>
            <w:r>
              <w:rPr>
                <w:rFonts w:ascii="Arial" w:hAnsi="Arial" w:eastAsia="Arial" w:cs="Arial"/>
                <w:color w:val="000000"/>
                <w:position w:val="0"/>
                <w:sz w:val="20"/>
                <w:szCs w:val="20"/>
                <w:shd w:val="clear" w:color="auto" w:fill="FFFFFF"/>
              </w:rPr>
              <w:br/>
              <w:t xml:space="preserve">BEZIRKSGERICHT Döbling</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EINLAGEZAHL 124</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besondere Abschrift</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ABFRAGEDATUM 2019-10-10</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Letzte TZ 4867/2007</w:t>
            </w:r>
            <w:r>
              <w:rPr>
                <w:rFonts w:ascii="Arial" w:hAnsi="Arial" w:eastAsia="Arial" w:cs="Arial"/>
                <w:color w:val="000000"/>
                <w:position w:val="0"/>
                <w:sz w:val="20"/>
                <w:szCs w:val="20"/>
                <w:shd w:val="clear" w:color="auto" w:fill="FFFFFF"/>
              </w:rPr>
              <w:br/>
              <w:t xml:space="preserve">WOHNUNGSEIGENTUM</w:t>
            </w:r>
          </w:p>
        </w:tc>
        <w:tc>
          <w:tcPr>
            <w:tcW w:w="0" w:type="auto"/>
            <w:shd w:val="clear" w:color="auto" w:fill="FFFFFF"/>
            <w:tcMar>
              <w:top w:w="156" w:type="dxa"/>
              <w:left w:w="0" w:type="auto"/>
              <w:bottom w:w="78" w:type="dxa"/>
              <w:right w:w="0" w:type="auto"/>
            </w:tcMar>
            <w:vAlign w:val="top"/>
          </w:tcPr>
          <w:p/>
        </w:tc>
      </w:tr>
    </w:tbl>
    <w:p>
      <w:r>
        <w:pict>
          <v:rect id="_x0000_i1026" style="width:0;height:1.5pt" o:hralign="center" o:hrstd="t" o:hr="t" o:hrnoshade="t" fillcolor="#a0a0a0" stroked="f"/>
        </w:pict>
      </w:r>
    </w:p>
    <w:p>
      <w:pPr>
        <w:widowControl w:val="on"/>
        <w:pBdr/>
        <w:spacing w:before="140" w:after="240" w:line="288" w:lineRule="auto"/>
        <w:ind w:left="0" w:right="0"/>
        <w:jc w:val="center"/>
      </w:pPr>
      <w:r>
        <w:rPr>
          <w:rFonts w:ascii="Arial" w:hAnsi="Arial" w:eastAsia="Arial" w:cs="Arial"/>
          <w:color w:val="000000"/>
          <w:sz w:val="20"/>
          <w:szCs w:val="20"/>
        </w:rPr>
        <w:t xml:space="preserve">A1</w:t>
      </w:r>
    </w:p>
    <w:p>
      <w:r>
        <w:pict>
          <v:rect id="_x0000_i1026" style="width:0;height:1.5pt" o:hralign="center" o:hrstd="t" o:hr="t" o:hrnoshade="t" fillcolor="#a0a0a0" stroked="f"/>
        </w:pic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gridCol w:w="1"/>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GST-NR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BA (NUTZUNG)</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FLÄCHE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GST-ADRESSE</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391/1</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Baufl (Gebäude)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315</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Salierigasse 34</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391/2</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Baufl (Gebäude)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47</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Wallrißstraße 9</w:t>
            </w:r>
          </w:p>
        </w:tc>
      </w:tr>
      <w:tr>
        <w:trPr>
          <w:trHeight w:val="0" w:hRule="atLeast"/>
        </w:trPr>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GESAMTFLÄCHE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362</w:t>
            </w:r>
          </w:p>
        </w:tc>
        <w:tc>
          <w:tcPr>
            <w:tcW w:w="0" w:type="auto"/>
            <w:shd w:val="clear" w:color="auto" w:fill="FFFFFF"/>
            <w:tcMar>
              <w:top w:w="156" w:type="dxa"/>
              <w:left w:w="0" w:type="auto"/>
              <w:bottom w:w="78" w:type="dxa"/>
              <w:right w:w="0" w:type="auto"/>
            </w:tcMar>
            <w:vAlign w:val="top"/>
          </w:tcPr>
          <w:p/>
        </w:tc>
      </w:tr>
    </w:tbl>
    <w:p>
      <w:r>
        <w:pict>
          <v:rect id="_x0000_i1026" style="width:0;height:1.5pt" o:hralign="center" o:hrstd="t" o:hr="t" o:hrnoshade="t" fillcolor="#a0a0a0" stroked="f"/>
        </w:pict>
      </w:r>
    </w:p>
    <w:p>
      <w:pPr>
        <w:widowControl w:val="on"/>
        <w:pBdr/>
        <w:spacing w:before="140" w:after="240" w:line="288" w:lineRule="auto"/>
        <w:ind w:left="0" w:right="0"/>
        <w:jc w:val="center"/>
      </w:pPr>
      <w:r>
        <w:rPr>
          <w:rFonts w:ascii="Arial" w:hAnsi="Arial" w:eastAsia="Arial" w:cs="Arial"/>
          <w:color w:val="000000"/>
          <w:sz w:val="20"/>
          <w:szCs w:val="20"/>
        </w:rPr>
        <w:t xml:space="preserve">A2</w:t>
      </w:r>
    </w:p>
    <w:p>
      <w:r>
        <w:pict>
          <v:rect id="_x0000_i1026" style="width:0;height:1.5pt" o:hralign="center" o:hrstd="t" o:hr="t" o:hrnoshade="t" fillcolor="#a0a0a0" stroked="f"/>
        </w:pict>
      </w:r>
    </w:p>
    <w:p>
      <w:pPr>
        <w:widowControl w:val="on"/>
        <w:pBdr/>
        <w:spacing w:before="140" w:after="240" w:line="288" w:lineRule="auto"/>
        <w:ind w:left="0" w:right="0"/>
        <w:jc w:val="center"/>
      </w:pPr>
      <w:r>
        <w:rPr>
          <w:rFonts w:ascii="Arial" w:hAnsi="Arial" w:eastAsia="Arial" w:cs="Arial"/>
          <w:color w:val="000000"/>
          <w:sz w:val="20"/>
          <w:szCs w:val="20"/>
        </w:rPr>
        <w:t xml:space="preserve">B</w:t>
      </w:r>
    </w:p>
    <w:p>
      <w:r>
        <w:pict>
          <v:rect id="_x0000_i1026" style="width:0;height:1.5pt" o:hralign="center" o:hrstd="t" o:hr="t" o:hrnoshade="t" fillcolor="#a0a0a0" stroked="f"/>
        </w:pic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ANTEIL: 49/1088</w:t>
            </w:r>
            <w:r>
              <w:rPr>
                <w:rFonts w:ascii="Arial" w:hAnsi="Arial" w:eastAsia="Arial" w:cs="Arial"/>
                <w:color w:val="000000"/>
                <w:position w:val="0"/>
                <w:sz w:val="20"/>
                <w:szCs w:val="20"/>
                <w:shd w:val="clear" w:color="auto" w:fill="FFFFFF"/>
              </w:rPr>
              <w:br/>
              <w:t xml:space="preserve">Müller Hans</w:t>
            </w:r>
            <w:r>
              <w:rPr>
                <w:rFonts w:ascii="Arial" w:hAnsi="Arial" w:eastAsia="Arial" w:cs="Arial"/>
                <w:color w:val="000000"/>
                <w:position w:val="0"/>
                <w:sz w:val="20"/>
                <w:szCs w:val="20"/>
                <w:shd w:val="clear" w:color="auto" w:fill="FFFFFF"/>
              </w:rPr>
              <w:br/>
              <w:t xml:space="preserve">GEB: 1941-09-01 ADR: Wallseerstraße 13 3100</w:t>
            </w:r>
          </w:p>
          <w:tbl>
            <w:tblPr>
              <w:tblStyle w:val="NormalTablePHPDOCX"/>
              <w:tblW w:w="5000" w:type="pct"/>
              <w:tblInd w:w="0" w:type="auto"/>
              <w:tblBorders>
                <w:top w:val="nil" w:color="363A40" w:sz="0"/>
                <w:left w:val="nil" w:color="363A40" w:sz="0"/>
                <w:bottom w:val="nil" w:color="363A40" w:sz="0"/>
                <w:right w:val="nil" w:color="363A40" w:sz="0"/>
              </w:tblBorders>
              <w:shd w:val="clear" w:color="auto" w:fill="FFFFFF"/>
            </w:tblPr>
            <w:tblGrid>
              <w:gridCol w:w="1"/>
              <w:gridCol w:w="1"/>
            </w:tblGrid>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4648/1996 Wohnungseigentum an W 4 samt Stellpl 8</w:t>
                  </w:r>
                </w:p>
              </w:tc>
            </w:tr>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133/1997 IM RANG 11045/1996 Schenkungsvertrag 1996-05-31,
Kaufvertrag 1996-12-04 Eigentumsrecht vorgemerkt</w:t>
                  </w:r>
                </w:p>
              </w:tc>
            </w:tr>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6896/1997 Rechtfertigung</w:t>
                  </w:r>
                </w:p>
              </w:tc>
            </w:tr>
          </w:tbl>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ANTEIL: 49/1088</w:t>
            </w:r>
            <w:r>
              <w:rPr>
                <w:rFonts w:ascii="Arial" w:hAnsi="Arial" w:eastAsia="Arial" w:cs="Arial"/>
                <w:color w:val="000000"/>
                <w:position w:val="0"/>
                <w:sz w:val="20"/>
                <w:szCs w:val="20"/>
                <w:shd w:val="clear" w:color="auto" w:fill="FFFFFF"/>
              </w:rPr>
              <w:br/>
              <w:t xml:space="preserve">Müller Petra</w:t>
            </w:r>
            <w:r>
              <w:rPr>
                <w:rFonts w:ascii="Arial" w:hAnsi="Arial" w:eastAsia="Arial" w:cs="Arial"/>
                <w:color w:val="000000"/>
                <w:position w:val="0"/>
                <w:sz w:val="20"/>
                <w:szCs w:val="20"/>
                <w:shd w:val="clear" w:color="auto" w:fill="FFFFFF"/>
              </w:rPr>
              <w:br/>
              <w:t xml:space="preserve">GEB: 1973-08-21 ADR: Wallseerstraße 13 3100</w:t>
            </w:r>
          </w:p>
          <w:tbl>
            <w:tblPr>
              <w:tblStyle w:val="NormalTablePHPDOCX"/>
              <w:tblW w:w="5000" w:type="pct"/>
              <w:tblInd w:w="0" w:type="auto"/>
              <w:tblBorders>
                <w:top w:val="nil" w:color="363A40" w:sz="0"/>
                <w:left w:val="nil" w:color="363A40" w:sz="0"/>
                <w:bottom w:val="nil" w:color="363A40" w:sz="0"/>
                <w:right w:val="nil" w:color="363A40" w:sz="0"/>
              </w:tblBorders>
              <w:shd w:val="clear" w:color="auto" w:fill="FFFFFF"/>
            </w:tblPr>
            <w:tblGrid>
              <w:gridCol w:w="1"/>
              <w:gridCol w:w="1"/>
            </w:tblGrid>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4648/1996 Wohnungseigentum an W 4 samt Stellpl 8</w:t>
                  </w:r>
                </w:p>
              </w:tc>
            </w:tr>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133/1997 IM RANG 11045/1996 Schenkungsvertrag 1996-05-31,
Kaufvertrag 1996-12-04 Eigentumsrecht vorgemerkt</w:t>
                  </w:r>
                </w:p>
              </w:tc>
            </w:tr>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6896/1997 Rechtfertigung</w:t>
                  </w:r>
                </w:p>
              </w:tc>
            </w:tr>
          </w:tbl>
          <w:p/>
        </w:tc>
      </w:tr>
    </w:tbl>
    <w:p>
      <w:pPr>
        <w:widowControl w:val="on"/>
        <w:pBdr/>
        <w:spacing w:before="140" w:after="240" w:line="288" w:lineRule="auto"/>
        <w:ind w:left="0" w:right="0"/>
        <w:jc w:val="left"/>
      </w:pPr>
      <w:r>
        <w:rPr>
          <w:rFonts w:ascii="Arial" w:hAnsi="Arial" w:eastAsia="Arial" w:cs="Arial"/>
          <w:color w:val="000000"/>
          <w:sz w:val="20"/>
          <w:szCs w:val="20"/>
        </w:rPr>
        <w:t xml:space="preserve">das Eigentumsrecht für</w:t>
      </w:r>
    </w:p>
    <w:p>
      <w:pPr>
        <w:numPr>
          <w:ilvl w:val="0"/>
          <w:numId w:val="827440507"/>
        </w:numPr>
        <w:spacing w:before="0" w:after="0" w:line="288" w:lineRule="auto"/>
        <w:jc w:val="left"/>
        <w:rPr>
          <w:rFonts w:ascii="Arial" w:hAnsi="Arial" w:eastAsia="Arial" w:cs="Arial"/>
          <w:color w:val="000000"/>
          <w:sz w:val="20"/>
          <w:szCs w:val="20"/>
        </w:rPr>
      </w:pPr>
      <w:r>
        <w:rPr>
          <w:rFonts w:ascii="Arial" w:hAnsi="Arial" w:eastAsia="Arial" w:cs="Arial"/>
          <w:b/>
          <w:bCs/>
          <w:color w:val="000000"/>
          <w:sz w:val="20"/>
          <w:szCs w:val="20"/>
        </w:rPr>
        <w:t xml:space="preserve">Andrea Gebarsis, geboren am 22.08.1964</w:t>
      </w:r>
      <w:r>
        <w:rPr>
          <w:rFonts w:ascii="Arial" w:hAnsi="Arial" w:eastAsia="Arial" w:cs="Arial"/>
          <w:color w:val="000000"/>
          <w:sz w:val="20"/>
          <w:szCs w:val="20"/>
        </w:rPr>
        <w:br/>
        <w:t xml:space="preserve">Grinzinger Allee 102–104/8/22</w:t>
      </w:r>
      <w:r>
        <w:rPr>
          <w:rFonts w:ascii="Arial" w:hAnsi="Arial" w:eastAsia="Arial" w:cs="Arial"/>
          <w:color w:val="000000"/>
          <w:sz w:val="20"/>
          <w:szCs w:val="20"/>
        </w:rPr>
        <w:br/>
        <w:t xml:space="preserve">1190 Wien</w:t>
      </w:r>
    </w:p>
    <w:p>
      <w:pPr>
        <w:widowControl w:val="on"/>
        <w:pBdr/>
        <w:spacing w:before="140" w:after="240" w:line="288" w:lineRule="auto"/>
        <w:ind w:left="0" w:right="0"/>
        <w:jc w:val="left"/>
      </w:pPr>
      <w:r>
        <w:rPr>
          <w:rFonts w:ascii="Arial" w:hAnsi="Arial" w:eastAsia="Arial" w:cs="Arial"/>
          <w:color w:val="000000"/>
          <w:sz w:val="20"/>
          <w:szCs w:val="20"/>
        </w:rPr>
        <w:t xml:space="preserve">einverleibt werden könne und möge.</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 Übergang von </w:t>
      </w:r>
      <w:r>
        <w:rPr>
          <w:rFonts w:ascii="Arial" w:hAnsi="Arial" w:eastAsia="Arial" w:cs="Arial"/>
          <w:b/>
          <w:bCs/>
          <w:color w:val="363A40"/>
          <w:sz w:val="28"/>
          <w:szCs w:val="28"/>
        </w:rPr>
        <w:t xml:space="preserve">Versicherungen</w:t>
      </w:r>
      <w:bookmarkStart w:id="95454593" w:name="link1"/>
      <w:bookmarkEnd w:id="95454593"/>
      <w:hyperlink w:anchor="note1" w:history="1">
        <w:r>
          <w:rPr>
            <w:rFonts w:ascii="Arial" w:hAnsi="Arial" w:eastAsia="Arial" w:cs="Arial"/>
            <w:b/>
            <w:bCs/>
            <w:color w:val="006BB6"/>
            <w:position w:val="6"/>
            <w:sz w:val="31"/>
            <w:szCs w:val="31"/>
            <w:vertAlign w:val="superscript"/>
          </w:rPr>
          <w:t xml:space="preserve">1</w:t>
        </w:r>
      </w:hyperlink>
    </w:p>
    <w:p>
      <w:pPr>
        <w:widowControl w:val="on"/>
        <w:pBdr/>
        <w:spacing w:before="140" w:after="240" w:line="288" w:lineRule="auto"/>
        <w:ind w:left="0" w:right="0"/>
        <w:jc w:val="left"/>
      </w:pPr>
      <w:r>
        <w:rPr>
          <w:rFonts w:ascii="Arial" w:hAnsi="Arial" w:eastAsia="Arial" w:cs="Arial"/>
          <w:color w:val="000000"/>
          <w:sz w:val="20"/>
          <w:szCs w:val="20"/>
        </w:rPr>
        <w:t xml:space="preserve">Die Käuferin wurde darüber aufgeklärt, dass eine allenfalls für
die veräußerte Liegenschaft abgeschlossene Versicherung
gem § 69 VersVG auf sie übergeht sowie dass sie eine
derartige Versicherung gem § 70 Abs 1 VersVG
innerhalb eines Monats ab Einverleibung ihres Eigentums im
Grundbuch kündigen kann.</w:t>
      </w:r>
    </w:p>
    <w:p>
      <w:pPr>
        <w:widowControl w:val="on"/>
        <w:pBdr/>
        <w:spacing w:before="140" w:after="240" w:line="288" w:lineRule="auto"/>
        <w:ind w:left="0" w:right="0"/>
        <w:jc w:val="left"/>
      </w:pPr>
      <w:r>
        <w:rPr>
          <w:rFonts w:ascii="Arial" w:hAnsi="Arial" w:eastAsia="Arial" w:cs="Arial"/>
          <w:color w:val="000000"/>
          <w:sz w:val="20"/>
          <w:szCs w:val="20"/>
        </w:rPr>
        <w:t xml:space="preserve">Die Verkäufer sind verpflichtet, der Käuferin sämtliche für das
Vertragsobjekt bestehenden Versicherungen unter Angabe der
Versicherungsgesellschaft und der Polizzennummer bekannt zu
geben.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XI. </w:t>
      </w:r>
      <w:r>
        <w:rPr>
          <w:rFonts w:ascii="Arial" w:hAnsi="Arial" w:eastAsia="Arial" w:cs="Arial"/>
          <w:b/>
          <w:bCs/>
          <w:color w:val="363A40"/>
          <w:sz w:val="28"/>
          <w:szCs w:val="28"/>
        </w:rPr>
        <w:t xml:space="preserve">Energieausweis</w:t>
      </w:r>
      <w:bookmarkStart w:id="66209077" w:name="link3"/>
      <w:bookmarkEnd w:id="66209077"/>
      <w:hyperlink w:anchor="note3" w:history="1">
        <w:r>
          <w:rPr>
            <w:rFonts w:ascii="Arial" w:hAnsi="Arial" w:eastAsia="Arial" w:cs="Arial"/>
            <w:b/>
            <w:bCs/>
            <w:color w:val="006BB6"/>
            <w:position w:val="6"/>
            <w:sz w:val="31"/>
            <w:szCs w:val="31"/>
            <w:vertAlign w:val="superscript"/>
          </w:rPr>
          <w:t xml:space="preserve">3</w:t>
        </w:r>
      </w:hyperlink>
    </w:p>
    <w:p>
      <w:pPr>
        <w:widowControl w:val="on"/>
        <w:pBdr/>
        <w:spacing w:before="140" w:after="240" w:line="288" w:lineRule="auto"/>
        <w:ind w:left="0" w:right="0"/>
        <w:jc w:val="left"/>
      </w:pPr>
      <w:r>
        <w:rPr>
          <w:rFonts w:ascii="Arial" w:hAnsi="Arial" w:eastAsia="Arial" w:cs="Arial"/>
          <w:color w:val="000000"/>
          <w:sz w:val="20"/>
          <w:szCs w:val="20"/>
        </w:rPr>
        <w:t xml:space="preserve">Die Verkäufer legen einen Energieausweis im Sinne des
Energieausweis-Vorlage-Gesetzes vor, der diesem Vertrag als Beilage
./A (ohne Anhang) angeschlossen wird. Die Käuferin bestätigt, den
Energieausweis einschließlich Anhang erhalten zu haben.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XII. Wohnungseigentum</w:t>
      </w:r>
    </w:p>
    <w:p>
      <w:pPr>
        <w:widowControl w:val="on"/>
        <w:pBdr/>
        <w:spacing w:before="140" w:after="240" w:line="288" w:lineRule="auto"/>
        <w:ind w:left="0" w:right="0"/>
        <w:jc w:val="left"/>
      </w:pPr>
      <w:r>
        <w:rPr>
          <w:rFonts w:ascii="Arial" w:hAnsi="Arial" w:eastAsia="Arial" w:cs="Arial"/>
          <w:color w:val="000000"/>
          <w:sz w:val="20"/>
          <w:szCs w:val="20"/>
        </w:rPr>
        <w:t xml:space="preserve">Der Käuferin ist der Inhalt des Wohnungseigentumsvertrages,
Beilage ./B, bekannt. Sie erklärt, in sämtliche Rechte und
Verbindlichkeiten, die sich aus dem Verhältnis der
Wohnungseigentümer zueinander ergeben, vollinhaltlich
einzutreten.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XIII. Inländereigenschaft</w:t>
      </w:r>
    </w:p>
    <w:p>
      <w:pPr>
        <w:widowControl w:val="on"/>
        <w:pBdr/>
        <w:spacing w:before="140" w:after="240" w:line="288" w:lineRule="auto"/>
        <w:ind w:left="0" w:right="0"/>
        <w:jc w:val="left"/>
      </w:pPr>
      <w:r>
        <w:rPr>
          <w:rFonts w:ascii="Arial" w:hAnsi="Arial" w:eastAsia="Arial" w:cs="Arial"/>
          <w:color w:val="000000"/>
          <w:sz w:val="20"/>
          <w:szCs w:val="20"/>
        </w:rPr>
        <w:t xml:space="preserve">Die Käuferin erklärt, Staatsangehörige von Portugal zu sein.</w:t>
      </w:r>
    </w:p>
    <w:p>
      <w:pPr>
        <w:widowControl w:val="on"/>
        <w:pBdr/>
        <w:spacing w:before="140" w:after="240" w:line="288" w:lineRule="auto"/>
        <w:ind w:left="0" w:right="0"/>
        <w:jc w:val="left"/>
      </w:pPr>
      <w:r>
        <w:rPr>
          <w:rFonts w:ascii="Arial" w:hAnsi="Arial" w:eastAsia="Arial" w:cs="Arial"/>
          <w:color w:val="000000"/>
          <w:sz w:val="20"/>
          <w:szCs w:val="20"/>
        </w:rPr>
        <w:t xml:space="preserve">Die Käuferin erklärt, den Erwerb gem § 3 Z 2
lit b Wiener Ausländergrunderwerbsgesetz im Rahmen der
Niederlassungsfreiheit zu tätigen.</w:t>
      </w:r>
    </w:p>
    <w:p>
      <w:pPr>
        <w:widowControl w:val="on"/>
        <w:pBdr/>
        <w:spacing w:before="140" w:after="240" w:line="288" w:lineRule="auto"/>
        <w:ind w:left="0" w:right="0"/>
        <w:jc w:val="left"/>
      </w:pPr>
      <w:r>
        <w:rPr>
          <w:rFonts w:ascii="Arial" w:hAnsi="Arial" w:eastAsia="Arial" w:cs="Arial"/>
          <w:color w:val="000000"/>
          <w:sz w:val="20"/>
          <w:szCs w:val="20"/>
        </w:rPr>
        <w:t xml:space="preserve">Die Rechtswirksamkeit dieses Kaufvertrages ist durch das
Vorliegen der rechtskräftigen ausländergrundverkehrsbehördlichen
Genehmigung bzw Vorliegen einer Negativbestätigung der zuständigen
Ausländergrundverkehrskommission (MA 35) aufschiebend bedingt. Die
Einholung der Zustimmung der zuständigen
Ausländergrundverkehrskommission obliegt der Käuferin. Die
Verkäufer werden die Käuferin dabei bestmöglich unterstützen und
allfällig erforderliche Erklärungen abgeben und die Unterschriften
über die erste Aufforderung leisten.</w:t>
      </w:r>
    </w:p>
    <w:p>
      <w:pPr>
        <w:widowControl w:val="on"/>
        <w:pBdr/>
        <w:spacing w:before="140" w:after="240" w:line="288" w:lineRule="auto"/>
        <w:ind w:left="0" w:right="0"/>
        <w:jc w:val="left"/>
      </w:pPr>
      <w:r>
        <w:rPr>
          <w:rFonts w:ascii="Arial" w:hAnsi="Arial" w:eastAsia="Arial" w:cs="Arial"/>
          <w:color w:val="000000"/>
          <w:sz w:val="20"/>
          <w:szCs w:val="20"/>
        </w:rPr>
        <w:t xml:space="preserve">Sollte die rechtskräftige Genehmigung des Vertrages durch die
zuständige Ausländergrundverkehrskommission nicht binnen längstens
sechs Monaten ab Antragstellung vorliegen, sind die Verkäufer
berechtigt, schriftlich (auch per E-Mail) gegenüber der Käuferin zu
erklären, dass sie sich nicht länger an den Kaufvertrag gebunden
erachtet. Diese schriftliche Erklärung kann bis zum Vorliegen der
rechtskräftigen Genehmigung gegenüber der Käuferin abgegeben
werden, wobei für die Rechtzeitigkeit das Einlangen der Erklärung
bei den Verkäufern maßgeblich ist. Das diesbezügliche Verfahren
wird auf Risiko der Käuferin geführt. Die Käuferin nimmt zustimmend
zur Kenntnis, dass allfällig im Zuge des Bewilligungsverfahrens ein
Nachweis über die Herkunft des Kaufpreises von den ermittelnden
Behörden verlangt wird, und die Verkäufer verpflichten sich, einen
solchen Nachweis unverzüglich zu erbringen.</w:t>
      </w:r>
    </w:p>
    <w:p>
      <w:pPr>
        <w:widowControl w:val="on"/>
        <w:pBdr/>
        <w:spacing w:before="140" w:after="240" w:line="288" w:lineRule="auto"/>
        <w:ind w:left="0" w:right="0"/>
        <w:jc w:val="left"/>
      </w:pPr>
      <w:r>
        <w:rPr>
          <w:rFonts w:ascii="Arial" w:hAnsi="Arial" w:eastAsia="Arial" w:cs="Arial"/>
          <w:color w:val="000000"/>
          <w:sz w:val="20"/>
          <w:szCs w:val="20"/>
        </w:rPr>
        <w:t xml:space="preserve">Für den Fall der Unwirksamkeit oder Auflösung dieses Vertrages
wird Folgendes vereinbart:</w:t>
      </w:r>
    </w:p>
    <w:p>
      <w:pPr>
        <w:numPr>
          <w:ilvl w:val="0"/>
          <w:numId w:val="4133020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Allenfalls an die Verkäufer bereits geleistete
Kaufpreisteilbeträge sind der Käuferin unverzüglich
zurückzubezahlen.</w:t>
      </w:r>
    </w:p>
    <w:p>
      <w:pPr>
        <w:numPr>
          <w:ilvl w:val="0"/>
          <w:numId w:val="4133020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Zinsen des Treuhandkontos verbleiben endgültig bei den
Verkäufern.</w:t>
      </w:r>
    </w:p>
    <w:p>
      <w:pPr>
        <w:numPr>
          <w:ilvl w:val="0"/>
          <w:numId w:val="4133020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Vertragserrichtungskosten trägt die Käuferin.</w:t>
      </w:r>
    </w:p>
    <w:p>
      <w:pPr>
        <w:numPr>
          <w:ilvl w:val="0"/>
          <w:numId w:val="4133020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Alle oder einzelne der baulichen Maßnahmen sind auf Verlangen
den Verkäufern rückzubauen.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XIV. </w:t>
      </w:r>
      <w:r>
        <w:rPr>
          <w:rFonts w:ascii="Arial" w:hAnsi="Arial" w:eastAsia="Arial" w:cs="Arial"/>
          <w:b/>
          <w:bCs/>
          <w:color w:val="363A40"/>
          <w:sz w:val="28"/>
          <w:szCs w:val="28"/>
        </w:rPr>
        <w:t xml:space="preserve">Immobilienertragsteuer</w:t>
      </w:r>
      <w:bookmarkStart w:id="76365588" w:name="link5"/>
      <w:bookmarkEnd w:id="76365588"/>
      <w:hyperlink w:anchor="note5" w:history="1">
        <w:r>
          <w:rPr>
            <w:rFonts w:ascii="Arial" w:hAnsi="Arial" w:eastAsia="Arial" w:cs="Arial"/>
            <w:b/>
            <w:bCs/>
            <w:color w:val="006BB6"/>
            <w:position w:val="6"/>
            <w:sz w:val="31"/>
            <w:szCs w:val="31"/>
            <w:vertAlign w:val="superscript"/>
          </w:rPr>
          <w:t xml:space="preserve">5</w:t>
        </w:r>
      </w:hyperlink>
    </w:p>
    <w:p>
      <w:pPr>
        <w:widowControl w:val="on"/>
        <w:pBdr/>
        <w:spacing w:before="140" w:after="240" w:line="288" w:lineRule="auto"/>
        <w:ind w:left="0" w:right="0"/>
        <w:jc w:val="left"/>
      </w:pPr>
      <w:r>
        <w:rPr>
          <w:rFonts w:ascii="Arial" w:hAnsi="Arial" w:eastAsia="Arial" w:cs="Arial"/>
          <w:color w:val="000000"/>
          <w:sz w:val="20"/>
          <w:szCs w:val="20"/>
        </w:rPr>
        <w:t xml:space="preserve">Der Verkäufer nehmen zur Kenntnis, dass der Kaufpreis der
Immobilienertragsteuer nach dem Einkommensteuergesetz
unterliegt</w:t>
      </w:r>
    </w:p>
    <w:p>
      <w:pPr>
        <w:widowControl w:val="on"/>
        <w:pBdr/>
        <w:spacing w:before="140" w:after="240" w:line="288" w:lineRule="auto"/>
        <w:ind w:left="0" w:right="0"/>
        <w:jc w:val="left"/>
      </w:pPr>
      <w:r>
        <w:rPr>
          <w:rFonts w:ascii="Arial" w:hAnsi="Arial" w:eastAsia="Arial" w:cs="Arial"/>
          <w:color w:val="000000"/>
          <w:sz w:val="20"/>
          <w:szCs w:val="20"/>
        </w:rPr>
        <w:t xml:space="preserve">Die Verkäufer wurden vom Vertragserrichter über §§ 30 ff
EStG, insbesondere über die Verpflichtung zur Entrichtung der
Immobilienertragssteuer, belehrt.</w:t>
      </w:r>
    </w:p>
    <w:p>
      <w:pPr>
        <w:widowControl w:val="on"/>
        <w:pBdr/>
        <w:spacing w:before="140" w:after="240" w:line="288" w:lineRule="auto"/>
        <w:ind w:left="0" w:right="0"/>
        <w:jc w:val="left"/>
      </w:pPr>
      <w:r>
        <w:rPr>
          <w:rFonts w:ascii="Arial" w:hAnsi="Arial" w:eastAsia="Arial" w:cs="Arial"/>
          <w:color w:val="000000"/>
          <w:sz w:val="20"/>
          <w:szCs w:val="20"/>
        </w:rPr>
        <w:t xml:space="preserve">Die Verkäufer erklären hiermit an Eides statt, dass der
Vertragsgegenstand innerhalb der letzten zehn Jahre vor der
Veräußerung mindestens fünf Jahre durchgehend als Hauptwohnsitz
gedient hat und den Hauptwohnsitz mit der Unterfertigung dieses
Vertrages aufzugeben. Die Einkünfte aus dem Veräußerungsgeschäft
sind daher gem § 30 Abs 2 Z 1 lit b EStG
steuerbefreit.</w:t>
      </w:r>
    </w:p>
    <w:p>
      <w:pPr>
        <w:widowControl w:val="on"/>
        <w:pBdr/>
        <w:spacing w:before="140" w:after="240" w:line="288" w:lineRule="auto"/>
        <w:ind w:left="0" w:right="0"/>
        <w:jc w:val="left"/>
      </w:pPr>
      <w:r>
        <w:rPr>
          <w:rFonts w:ascii="Arial" w:hAnsi="Arial" w:eastAsia="Arial" w:cs="Arial"/>
          <w:color w:val="000000"/>
          <w:sz w:val="20"/>
          <w:szCs w:val="20"/>
        </w:rPr>
        <w:t xml:space="preserve">Die Verkäufer beauftragen den Vertragserrichter, die
entsprechende Meldung beim zuständigen Finanzamt vorzunehmen.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XV. Treuhandvereinbarung</w:t>
      </w:r>
    </w:p>
    <w:p>
      <w:pPr>
        <w:widowControl w:val="on"/>
        <w:pBdr/>
        <w:spacing w:before="140" w:after="240" w:line="288" w:lineRule="auto"/>
        <w:ind w:left="0" w:right="0"/>
        <w:jc w:val="left"/>
      </w:pPr>
      <w:r>
        <w:rPr>
          <w:rFonts w:ascii="Arial" w:hAnsi="Arial" w:eastAsia="Arial" w:cs="Arial"/>
          <w:color w:val="000000"/>
          <w:sz w:val="20"/>
          <w:szCs w:val="20"/>
        </w:rPr>
        <w:t xml:space="preserve">Die grundbücherliche Durchführung des gegenständlichen
Kaufvertrages erfolgt durch den Treuhänder Rechtsanwalt Dr.
Hans-Peter Musteranwalt, 1010 Wien, Musterstraße 25, der auch
Vertragsverfasser ist.</w:t>
      </w:r>
    </w:p>
    <w:p>
      <w:pPr>
        <w:widowControl w:val="on"/>
        <w:pBdr/>
        <w:spacing w:before="140" w:after="240" w:line="288" w:lineRule="auto"/>
        <w:ind w:left="0" w:right="0"/>
        <w:jc w:val="left"/>
      </w:pPr>
      <w:r>
        <w:rPr>
          <w:rFonts w:ascii="Arial" w:hAnsi="Arial" w:eastAsia="Arial" w:cs="Arial"/>
          <w:color w:val="000000"/>
          <w:sz w:val="20"/>
          <w:szCs w:val="20"/>
        </w:rPr>
        <w:t xml:space="preserve">Diese Treuhandvereinbarung wird in Entsprechung des Statuts 2010
der Treuhandeinrichtung der Rechtsanwaltskammer Wien,
„Elektronisches Anwaltliches Treuhandbuch (eATHB)“ geschlossen.</w:t>
      </w:r>
    </w:p>
    <w:p>
      <w:pPr>
        <w:widowControl w:val="on"/>
        <w:pBdr/>
        <w:spacing w:before="140" w:after="240" w:line="288" w:lineRule="auto"/>
        <w:ind w:left="0" w:right="0"/>
        <w:jc w:val="left"/>
      </w:pPr>
      <w:r>
        <w:rPr>
          <w:rFonts w:ascii="Arial" w:hAnsi="Arial" w:eastAsia="Arial" w:cs="Arial"/>
          <w:color w:val="000000"/>
          <w:sz w:val="20"/>
          <w:szCs w:val="20"/>
        </w:rPr>
        <w:t xml:space="preserve">Die Käuferin beauftragt und bevollmächtigt den Treuhänder
unwiderruflich den Kaufvertrag nach Maßgabe dieser
Treuhandvereinbarung grundbücherlich durchzuführen.</w:t>
      </w:r>
    </w:p>
    <w:p>
      <w:pPr>
        <w:widowControl w:val="on"/>
        <w:pBdr/>
        <w:spacing w:before="140" w:after="240" w:line="288" w:lineRule="auto"/>
        <w:ind w:left="0" w:right="0"/>
        <w:jc w:val="left"/>
      </w:pPr>
      <w:r>
        <w:rPr>
          <w:rFonts w:ascii="Arial" w:hAnsi="Arial" w:eastAsia="Arial" w:cs="Arial"/>
          <w:color w:val="000000"/>
          <w:sz w:val="20"/>
          <w:szCs w:val="20"/>
        </w:rPr>
        <w:t xml:space="preserve">Der Treuhänder ist verpflichtet, nach Vorliegen der notwendigen
und grundbuchsfähig unterfertigten Kaufvertragsunterlagen sowie
nach Sicherstellung der Kaufpreiszahlung und nach Bezahlung der
Grunderwerbsteuer sowie Eintragungsgebühr die grundbücherliche
Einverleibung des Eigentumsrechtes zugunsten der Käuferin zu
veranlassen.</w:t>
      </w:r>
    </w:p>
    <w:p>
      <w:pPr>
        <w:widowControl w:val="on"/>
        <w:pBdr/>
        <w:spacing w:before="140" w:after="240" w:line="288" w:lineRule="auto"/>
        <w:ind w:left="0" w:right="0"/>
        <w:jc w:val="left"/>
      </w:pPr>
      <w:r>
        <w:rPr>
          <w:rFonts w:ascii="Arial" w:hAnsi="Arial" w:eastAsia="Arial" w:cs="Arial"/>
          <w:color w:val="000000"/>
          <w:sz w:val="20"/>
          <w:szCs w:val="20"/>
        </w:rPr>
        <w:t xml:space="preserve">Das Treuhandkonto sowie das Konto, auf welches der Kaufpreis
ausbezahlt werden soll, werden in einer Kammermeldung der
Rechtsanwaltskammer Wien gemeldet.</w:t>
      </w:r>
    </w:p>
    <w:p>
      <w:pPr>
        <w:widowControl w:val="on"/>
        <w:pBdr/>
        <w:spacing w:before="140" w:after="240" w:line="288" w:lineRule="auto"/>
        <w:ind w:left="0" w:right="0"/>
        <w:jc w:val="left"/>
      </w:pPr>
      <w:r>
        <w:rPr>
          <w:rFonts w:ascii="Arial" w:hAnsi="Arial" w:eastAsia="Arial" w:cs="Arial"/>
          <w:color w:val="000000"/>
          <w:sz w:val="20"/>
          <w:szCs w:val="20"/>
        </w:rPr>
        <w:t xml:space="preserve">Die Vertragsparteien erklären ihre ausdrückliche Zustimmung,
dass im Zusammenhang mit der Meldung der Treuhandschaft die zur
Abwicklung erforderlichen Daten elektronisch gespeichert,
verarbeitet und der Rechtsanwaltskammer Wien gemeldet werden. Sie
verpflichten sich, die dafür erforderlichen Formulare zu
unterfertigen.</w:t>
      </w:r>
    </w:p>
    <w:p>
      <w:pPr>
        <w:widowControl w:val="on"/>
        <w:pBdr/>
        <w:spacing w:before="140" w:after="240" w:line="288" w:lineRule="auto"/>
        <w:ind w:left="0" w:right="0"/>
        <w:jc w:val="left"/>
      </w:pPr>
      <w:r>
        <w:rPr>
          <w:rFonts w:ascii="Arial" w:hAnsi="Arial" w:eastAsia="Arial" w:cs="Arial"/>
          <w:color w:val="000000"/>
          <w:sz w:val="20"/>
          <w:szCs w:val="20"/>
        </w:rPr>
        <w:t xml:space="preserve">Die Vertragsparteien erteilen hiermit weiters dem Treuhänder die
Befreiung von seiner Verpflichtung zur Verschwiegenheit gegenüber
der Treuhandeinrichtung (eATHB) im Zusammenhang mit einer
Offenlegung bei Nachschau sowie Überprüfung der ordnungsgemäßen
Abwicklung der übernommenen Treuhandschaft durch Erteilung
entsprechender Auskünfte und zur Einsichtnahme in die
Unterlagen.</w:t>
      </w:r>
    </w:p>
    <w:p>
      <w:pPr>
        <w:widowControl w:val="on"/>
        <w:pBdr/>
        <w:spacing w:before="140" w:after="240" w:line="288" w:lineRule="auto"/>
        <w:ind w:left="0" w:right="0"/>
        <w:jc w:val="left"/>
      </w:pPr>
      <w:r>
        <w:rPr>
          <w:rFonts w:ascii="Arial" w:hAnsi="Arial" w:eastAsia="Arial" w:cs="Arial"/>
          <w:color w:val="000000"/>
          <w:sz w:val="20"/>
          <w:szCs w:val="20"/>
        </w:rPr>
        <w:t xml:space="preserve">Die Vertragsparteien erklären weiters, den Treuhänder von seiner
Verschwiegenheitsverpflichtung im Zusammenhang mit den ihn
treffenden Offenlegungspflichten gem §§ 40, 41
Bankwesengesetz (BWG) gegenüber Kredit- und Finanzinstituten und
der Prüf-, Feststellungs- und Meldepflicht gem §§ 8a, 8b
und 8c Rechtsanwaltsordnung (RAO) zu entbinden.</w:t>
      </w:r>
    </w:p>
    <w:p>
      <w:pPr>
        <w:widowControl w:val="on"/>
        <w:pBdr/>
        <w:spacing w:before="140" w:after="240" w:line="288" w:lineRule="auto"/>
        <w:ind w:left="0" w:right="0"/>
        <w:jc w:val="left"/>
      </w:pPr>
      <w:r>
        <w:rPr>
          <w:rFonts w:ascii="Arial" w:hAnsi="Arial" w:eastAsia="Arial" w:cs="Arial"/>
          <w:color w:val="000000"/>
          <w:sz w:val="20"/>
          <w:szCs w:val="20"/>
        </w:rPr>
        <w:t xml:space="preserve">Den Vertragsparteien wurde das Statut 2010 der
Treuhandeinrichtung der Rechtsanwaltskammer Wien „Elektronisches
Anwaltliches Treuhandbuch“ (eATHB) vor Übernahme dieses
Treuhandauftrages durch Übergabe einer schriftlichen Ausfertigung
zur Kenntnis gebracht und quittieren diese darüber durch ihre
Unterschrift.</w:t>
      </w:r>
    </w:p>
    <w:p>
      <w:pPr>
        <w:widowControl w:val="on"/>
        <w:pBdr/>
        <w:spacing w:before="140" w:after="240" w:line="288" w:lineRule="auto"/>
        <w:ind w:left="0" w:right="0"/>
        <w:jc w:val="left"/>
      </w:pPr>
      <w:r>
        <w:rPr>
          <w:rFonts w:ascii="Arial" w:hAnsi="Arial" w:eastAsia="Arial" w:cs="Arial"/>
          <w:color w:val="000000"/>
          <w:sz w:val="20"/>
          <w:szCs w:val="20"/>
        </w:rPr>
        <w:t xml:space="preserve">Die Beauftragung des Treuhänders ist unwiderruflich und wirkt
über den Tod der Käuferin hinaus. Die Käuferin verpflichtet sich
vor Erfüllung der Treuhandschaft, ohne ausdrückliche Zustimmung des
Treuhänders nicht über den Kaufgegenstand zu verfügen.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XVI. Laesio Enormis</w:t>
      </w:r>
    </w:p>
    <w:p>
      <w:pPr>
        <w:widowControl w:val="on"/>
        <w:pBdr/>
        <w:spacing w:before="140" w:after="240" w:line="288" w:lineRule="auto"/>
        <w:ind w:left="0" w:right="0"/>
        <w:jc w:val="left"/>
      </w:pPr>
      <w:r>
        <w:rPr>
          <w:rFonts w:ascii="Arial" w:hAnsi="Arial" w:eastAsia="Arial" w:cs="Arial"/>
          <w:color w:val="000000"/>
          <w:sz w:val="20"/>
          <w:szCs w:val="20"/>
        </w:rPr>
        <w:t xml:space="preserve">Die Vertragsparteien erklären im Hinblick auf das Rechtsmittel
wegen Verkürzung über die Hälfte des wahren Wertes, dass ihnen nach
den gegebenen Verhältnissen der tatsächliche Wert des Kaufobjektes
bekannt ist. Die Vertragsparteien wurden über das Rechtsmittel
wegen Verkürzung über die Hälfte des wahren Wertes
rechtsbelehrt.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XVII. Sonstiges</w:t>
      </w:r>
    </w:p>
    <w:p>
      <w:pPr>
        <w:widowControl w:val="on"/>
        <w:pBdr/>
        <w:spacing w:before="140" w:after="240" w:line="288" w:lineRule="auto"/>
        <w:ind w:left="0" w:right="0"/>
        <w:jc w:val="left"/>
      </w:pPr>
      <w:r>
        <w:rPr>
          <w:rFonts w:ascii="Arial" w:hAnsi="Arial" w:eastAsia="Arial" w:cs="Arial"/>
          <w:color w:val="000000"/>
          <w:sz w:val="20"/>
          <w:szCs w:val="20"/>
        </w:rPr>
        <w:t xml:space="preserve">Dieser Vertrag wird in einer Ausfertigung errichtet, welche bis
zur Verbücherung beim Vertragsverfasser verbleibt und dann der
Käuferin gebührt.</w:t>
      </w:r>
    </w:p>
    <w:p>
      <w:pPr>
        <w:widowControl w:val="on"/>
        <w:pBdr/>
        <w:spacing w:before="140" w:after="240" w:line="288" w:lineRule="auto"/>
        <w:ind w:left="0" w:right="0"/>
        <w:jc w:val="left"/>
      </w:pPr>
      <w:r>
        <w:rPr>
          <w:rFonts w:ascii="Arial" w:hAnsi="Arial" w:eastAsia="Arial" w:cs="Arial"/>
          <w:color w:val="000000"/>
          <w:sz w:val="20"/>
          <w:szCs w:val="20"/>
        </w:rPr>
        <w:t xml:space="preserve">Die Verkäufer erhalten eine unbeglaubigte Abschrift.</w:t>
      </w:r>
    </w:p>
    <w:p>
      <w:pPr>
        <w:widowControl w:val="on"/>
        <w:pBdr/>
        <w:spacing w:before="140" w:after="240" w:line="288" w:lineRule="auto"/>
        <w:ind w:left="0" w:right="0"/>
        <w:jc w:val="left"/>
      </w:pPr>
      <w:r>
        <w:rPr>
          <w:rFonts w:ascii="Arial" w:hAnsi="Arial" w:eastAsia="Arial" w:cs="Arial"/>
          <w:color w:val="000000"/>
          <w:sz w:val="20"/>
          <w:szCs w:val="20"/>
        </w:rPr>
        <w:t xml:space="preserve">Alle in diesem Vertrag enthaltenen Rechte und Pflichten gehen
von den Vertragsparteien auf deren Rechtsnachfolger über bzw sind
auf diese mit der Verpflichtung zu überbinden ihrerseits die Rechte
und Pflichten aus diesem Vertrag auf deren Rechtsnachfolger zu
überbinden.</w:t>
      </w:r>
    </w:p>
    <w:p>
      <w:pPr>
        <w:widowControl w:val="on"/>
        <w:pBdr/>
        <w:spacing w:before="140" w:after="240" w:line="288" w:lineRule="auto"/>
        <w:ind w:left="0" w:right="0"/>
        <w:jc w:val="left"/>
      </w:pPr>
      <w:r>
        <w:rPr>
          <w:rFonts w:ascii="Arial" w:hAnsi="Arial" w:eastAsia="Arial" w:cs="Arial"/>
          <w:color w:val="000000"/>
          <w:sz w:val="20"/>
          <w:szCs w:val="20"/>
        </w:rPr>
        <w:t xml:space="preserve">Sollte eine Bestimmung dieses Vertrages unwirksam sein oder
ungültig werden, so berührt dies die Wirksamkeit der übrigen
Bestimmungen nicht. Die Vertragsparteien verpflichten sich,
anstelle der unwirksamen Bestimmung bzw Bestimmungen unverzüglich
eine Ersatzregelung zu vereinbaren, die dem wirtschaftlichen Zweck
der unwirksamen Bestimmung und dem beabsichtigten Parteiwillen und
der Zwecksetzung dieses Vertrages am nächsten kommt.</w:t>
      </w:r>
    </w:p>
    <w:p>
      <w:pPr>
        <w:widowControl w:val="on"/>
        <w:pBdr/>
        <w:spacing w:before="140" w:after="240" w:line="288" w:lineRule="auto"/>
        <w:ind w:left="0" w:right="0"/>
        <w:jc w:val="left"/>
      </w:pPr>
      <w:r>
        <w:rPr>
          <w:rFonts w:ascii="Arial" w:hAnsi="Arial" w:eastAsia="Arial" w:cs="Arial"/>
          <w:color w:val="000000"/>
          <w:sz w:val="20"/>
          <w:szCs w:val="20"/>
        </w:rPr>
        <w:t xml:space="preserve">Sämtliche Änderungen oder Ergänzungen der vorliegenden Urkunde
bedürfen zu ihrer Rechtswirksamkeit der Schriftform. Dies gilt auch
für das einvernehmliche Abgehen von diesem vereinbarten
Formerfordernis. Es bestehen keine mündlichen Nebenabreden zu
diesem Kaufvertrag.</w:t>
      </w:r>
    </w:p>
    <w:p>
      <w:pPr>
        <w:widowControl w:val="on"/>
        <w:pBdr/>
        <w:spacing w:before="140" w:after="240" w:line="288" w:lineRule="auto"/>
        <w:ind w:left="0" w:right="0"/>
        <w:jc w:val="left"/>
      </w:pPr>
      <w:r>
        <w:rPr>
          <w:rFonts w:ascii="Arial" w:hAnsi="Arial" w:eastAsia="Arial" w:cs="Arial"/>
          <w:color w:val="000000"/>
          <w:sz w:val="20"/>
          <w:szCs w:val="20"/>
        </w:rPr>
        <w:t xml:space="preserve">Die Vertragsparteien vereinbaren die Zuständigkeit des sachlich
für … zuständigen Gerichtes für alle Streitigkeiten.</w:t>
      </w:r>
    </w:p>
    <w:p>
      <w:pPr>
        <w:widowControl w:val="on"/>
        <w:pBdr/>
        <w:spacing w:before="140" w:after="240" w:line="288" w:lineRule="auto"/>
        <w:ind w:left="0" w:right="0"/>
        <w:jc w:val="left"/>
      </w:pPr>
      <w:r>
        <w:rPr>
          <w:rFonts w:ascii="Arial" w:hAnsi="Arial" w:eastAsia="Arial" w:cs="Arial"/>
          <w:color w:val="000000"/>
          <w:sz w:val="20"/>
          <w:szCs w:val="20"/>
        </w:rPr>
        <w:t xml:space="preserve">…, am …</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Hans Müller, geboren am 01.09.1941</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Petra Müller, geboren am 21.08.1973</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Andrea Gebarsis, geboren am 22.08.1964</w:t>
      </w:r>
    </w:p>
    <w:p>
      <w:pPr>
        <w:widowControl w:val="on"/>
        <w:pBdr/>
        <w:spacing w:before="140" w:after="240" w:line="288" w:lineRule="auto"/>
        <w:ind w:left="0" w:right="0"/>
        <w:jc w:val="left"/>
      </w:pPr>
      <w:r>
        <w:rPr>
          <w:rFonts w:ascii="Arial" w:hAnsi="Arial" w:eastAsia="Arial" w:cs="Arial"/>
          <w:b/>
          <w:bCs/>
          <w:color w:val="000000"/>
          <w:sz w:val="20"/>
          <w:szCs w:val="20"/>
        </w:rPr>
        <w:t xml:space="preserve">Beilagen:</w:t>
      </w:r>
      <w:r>
        <w:rPr>
          <w:rFonts w:ascii="Arial" w:hAnsi="Arial" w:eastAsia="Arial" w:cs="Arial"/>
          <w:color w:val="000000"/>
          <w:sz w:val="20"/>
          <w:szCs w:val="20"/>
        </w:rPr>
        <w:br/>
        <w:t xml:space="preserve">Beilage ./A: Energieausweis</w:t>
      </w:r>
      <w:r>
        <w:rPr>
          <w:rFonts w:ascii="Arial" w:hAnsi="Arial" w:eastAsia="Arial" w:cs="Arial"/>
          <w:color w:val="000000"/>
          <w:sz w:val="20"/>
          <w:szCs w:val="20"/>
        </w:rPr>
        <w:br/>
        <w:t xml:space="preserve">Beilage ./B: Wohnungseigentumsvertrag</w:t>
      </w:r>
      <w:r>
        <w:rPr>
          <w:rFonts w:ascii="Arial" w:hAnsi="Arial" w:eastAsia="Arial" w:cs="Arial"/>
          <w:color w:val="000000"/>
          <w:sz w:val="20"/>
          <w:szCs w:val="20"/>
        </w:rPr>
        <w:br/>
        <w:t xml:space="preserve">Beilage ./C: Lageplan</w:t>
      </w:r>
      <w:r>
        <w:rPr>
          <w:rFonts w:ascii="Arial" w:hAnsi="Arial" w:eastAsia="Arial" w:cs="Arial"/>
          <w:color w:val="000000"/>
          <w:sz w:val="20"/>
          <w:szCs w:val="20"/>
        </w:rPr>
        <w:br/>
        <w:t xml:space="preserve">…</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tbl>
      <w:tblPr>
        <w:tblStyle w:val="NormalTablePHPDOCX"/>
        <w:tblW w:w="0" w:type="auto"/>
        <w:tblInd w:w="0" w:type="auto"/>
        <w:tblBorders/>
        <w:shd w:val="clear" w:color="auto" w:fill="FFFFFF"/>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10912663" w:name="note1"/>
            <w:bookmarkEnd w:id="10912663"/>
            <w:bookmarkStart w:id="9450819460835" w:name="note1"/>
            <w:r>
              <w:rPr>
                <w:rFonts w:ascii="Arial" w:hAnsi="Arial" w:eastAsia="Arial" w:cs="Arial"/>
                <w:b/>
                <w:bCs/>
                <w:color w:val="000000"/>
                <w:position w:val="0"/>
                <w:sz w:val="20"/>
                <w:szCs w:val="20"/>
              </w:rPr>
              <w:t xml:space="preserve">[1]</w:t>
            </w:r>
            <w:bookmarkEnd w:id="9450819460835"/>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Übergang von Versicherungen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Bestimmungen der §§ 69, 70 VersVG räumen sowohl dem
Erwerber als auch dem Versicherer ein Kündigungsrecht ein, weil dem
Versicherer der ihm aufgezwungene Versicherungsnehmer bedenklich
erscheinen kann, während der Erwerber der versicherten Sache einen
anderen Versicherer vorziehen will oder möglicherweise keinen
Versicherungsschutz mehr wünscht.</w:t>
            </w:r>
          </w:p>
          <w:p>
            <w:pPr>
              <w:widowControl w:val="on"/>
              <w:pBdr/>
              <w:spacing w:before="0" w:after="0" w:line="288" w:lineRule="auto"/>
              <w:ind w:left="0" w:right="0"/>
              <w:jc w:val="left"/>
              <w:textAlignment w:val="top"/>
            </w:pPr>
            <w:hyperlink w:anchor="link1"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6313842" w:name="note2"/>
            <w:bookmarkEnd w:id="6313842"/>
            <w:bookmarkStart w:id="2611313997474" w:name="note2"/>
            <w:r>
              <w:rPr>
                <w:rFonts w:ascii="Arial" w:hAnsi="Arial" w:eastAsia="Arial" w:cs="Arial"/>
                <w:b/>
                <w:bCs/>
                <w:color w:val="000000"/>
                <w:position w:val="0"/>
                <w:sz w:val="20"/>
                <w:szCs w:val="20"/>
              </w:rPr>
              <w:t xml:space="preserve">[2]</w:t>
            </w:r>
            <w:bookmarkEnd w:id="2611313997474"/>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Rechtskraftbestätigung</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Genehmigungen von Verwaltungsbehörden, die Voraussetzung einer
bücherlichen Eintragung sind, müssen mit der Bestätigung der
Rechtskraft versehen sein. Gleiches gilt für Bescheide, mit denen
dem Grundbuchsgericht nachzuweisen ist, dass ein zu verbüchernder
Erwerbsvorgang keiner behördlichen Genehmigung – etwa einer
Genehmigung der Grundverkehrsbehörde oder der
Ausländergrundverkehrskommission – bedarf. Eine solche
Rechtskraftbestätigung entzieht sich einer Nachprüfung durch das
Grundbuchsgericht (so schon 5 Ob 1134/94); umgekehrt hat aber auch
das Grundbuchsgericht bei Fehlen einer Rechtskraftbestätigung von
sich aus keine Erwägungen über die Anfechtbarkeit eines
verwaltungsbehördlichen Genehmigungsbescheides anzustellen, weil
das Grundbuchsverfahren keine Möglichkeit für diesbezügliche
Erhebungen bietet; das Grundbuchsgericht hat sich weiters nicht auf
Spekulationen darüber einzulassen, ob ein Bescheid noch durch ein
ordentliches Rechtsmittel angefochten werden kann, sondern muss
eine eigene Erklärung der Behörde über die Rechtskraft verlangen;
eine den Entscheidungsgründen angefügte Rechtsbelehrung über die
gesetzlichen Anfechtungsmöglichkeiten reicht nicht aus (siehe
RIS-Justiz RS0099943).</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Ausländische Staatsbürger, die (Mit)Eigentum, ein Baurecht oder
eine persönliche Dienstbarkeit (wie Wohnungsgebrauchsrecht) an
bebauten oder unbebauten Grundstücken jeder Art in Wien erwerben
möchten oder eine Bestandgabe im Grundbuch eintragen möchten,
benötigen für die Gültigkeit des Rechtsgeschäftes eine Genehmigung
nach dem Wiener Ausländergrunderwerbsgesetz.</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In bestimmten Fällen benötigt ein Ausländer keine Genehmigung
bzw es kann eine Negativbestätigung (Bestätigung der
Grundverkehrsbehörde, dass das Rechtsgeschäft von der
Genehmigungspflicht ausgenommen ist) beantragt werden.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In folgenden Fällen muss keine Genehmigung beantragt werden:</w:t>
            </w:r>
          </w:p>
          <w:p>
            <w:pPr>
              <w:numPr>
                <w:ilvl w:val="0"/>
                <w:numId w:val="844320402"/>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Wenn Ehegatten oder eingetragene Partner als gemeinsame
Erwerbende auftreten und eine oder einer der beiden die
österreichische Staatsbürgerschaft besitzt</w:t>
            </w:r>
          </w:p>
          <w:p>
            <w:pPr>
              <w:numPr>
                <w:ilvl w:val="0"/>
                <w:numId w:val="844320402"/>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Beim Erwerb von Objekten, an denen Wohnungseigentum begründet
werden kann, durch eine Eigentümerpartnerschaft (§ 13 WEG
2002), wenn ein Partner in der Eigentümerpartnerschaft die
österreichische Staatsbürgerschaft besitzt</w:t>
            </w:r>
          </w:p>
          <w:p>
            <w:pPr>
              <w:numPr>
                <w:ilvl w:val="0"/>
                <w:numId w:val="844320402"/>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Beim Erwerb durch EWR-Bürger bzw -Bürgerinnen (natürliche und
juristische Personen) und Schweizer natürliche Personen. In diesem
Fall ist weder eine Genehmigung noch eine Negativbestätigung
erforderlich. Auf Antrag kann aber eine Negativbestätigung
ausgestellt werden.</w:t>
            </w:r>
          </w:p>
          <w:p>
            <w:pPr>
              <w:numPr>
                <w:ilvl w:val="0"/>
                <w:numId w:val="844320402"/>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Beim Erwerb durch britische Staatsangehörige, die unter das
Austrittsabkommen fallen und damit im Besitz eines
Aufenthaltstitels „Artikel 50 EUV“ für Österreich sind</w:t>
            </w:r>
          </w:p>
          <w:p>
            <w:pPr>
              <w:numPr>
                <w:ilvl w:val="0"/>
                <w:numId w:val="844320402"/>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Wenn sich die Genehmigungsfreiheit aus anderen
staatsvertraglichen Verpflichtungen ergibt</w:t>
            </w:r>
          </w:p>
          <w:p>
            <w:pPr>
              <w:numPr>
                <w:ilvl w:val="0"/>
                <w:numId w:val="844320402"/>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Wenn die Einräumung eines beweglichen Gutes nur gerichtlich
hinterlegt wird (Superädifikat)</w:t>
            </w:r>
          </w:p>
          <w:p>
            <w:pPr>
              <w:numPr>
                <w:ilvl w:val="0"/>
                <w:numId w:val="844320402"/>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Bei Rechtsgeschäften von Todes wegen (Eigentumserwerb aufgrund
einer letztwilligen Verfügung oder einer
Einantwortungsurkunde)</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Käuferin ist Staatsangehörige von Portugal, einem
EWR-Mitgliedstaat, sodass weder die Einholung einer Genehmigung
noch einer Negativbestätigung nach dem Wiener
Ausländergrunderwerbsgesetz erforderlich ist. Auf Antrag kann eine
Negativbestätigung ausgestellt werden.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2972200" w:name="note3"/>
            <w:bookmarkEnd w:id="2972200"/>
            <w:bookmarkStart w:id="4884598139063" w:name="note3"/>
            <w:r>
              <w:rPr>
                <w:rFonts w:ascii="Arial" w:hAnsi="Arial" w:eastAsia="Arial" w:cs="Arial"/>
                <w:b/>
                <w:bCs/>
                <w:color w:val="000000"/>
                <w:position w:val="0"/>
                <w:sz w:val="20"/>
                <w:szCs w:val="20"/>
              </w:rPr>
              <w:t xml:space="preserve">[3]</w:t>
            </w:r>
            <w:bookmarkEnd w:id="4884598139063"/>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Energieausweis</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Gem § 118 Abs 5 BO ist der Energieausweis von einem
nach den für die Berufsausübung maßgeblichen Vorschriften
Berechtigten oder einer akkreditierten Prüfstelle auszustellen. Die
Gültigkeitsdauer des Energieausweises beträgt höchstens zehn Jahre.
Gem § 118 a BO hat der Magistrat ein Datenregister
einzurichten und zu führen, das alle Energieausweise für Gebäude in
Wien umfasst (Energieausweisdatenbank).</w:t>
            </w:r>
          </w:p>
          <w:p>
            <w:pPr>
              <w:widowControl w:val="on"/>
              <w:pBdr/>
              <w:spacing w:before="0" w:after="0" w:line="288" w:lineRule="auto"/>
              <w:ind w:left="0" w:right="0"/>
              <w:jc w:val="left"/>
              <w:textAlignment w:val="top"/>
            </w:pPr>
            <w:hyperlink w:anchor="link3" w:history="1">
              <w:r>
                <w:rPr>
                  <w:rFonts w:ascii="Arial" w:hAnsi="Arial" w:eastAsia="Arial" w:cs="Arial"/>
                  <w:color w:val="006BB6"/>
                  <w:position w:val="0"/>
                  <w:sz w:val="20"/>
                  <w:szCs w:val="20"/>
                  <w:u w:val="single"/>
                </w:rPr>
                <w:t xml:space="preserve">Zurück</w:t>
              </w:r>
            </w:hyperlink>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37007170" w:name="note4"/>
            <w:bookmarkEnd w:id="37007170"/>
            <w:bookmarkStart w:id="440111336018" w:name="note4"/>
            <w:r>
              <w:rPr>
                <w:rFonts w:ascii="Arial" w:hAnsi="Arial" w:eastAsia="Arial" w:cs="Arial"/>
                <w:b/>
                <w:bCs/>
                <w:color w:val="000000"/>
                <w:position w:val="0"/>
                <w:sz w:val="20"/>
                <w:szCs w:val="20"/>
              </w:rPr>
              <w:t xml:space="preserve">[4]</w:t>
            </w:r>
            <w:bookmarkEnd w:id="440111336018"/>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Betriebskostentragung bei Eigentümerwechsel</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Gem § 32 Abs 1 WEG sind die Aufwendungen für die
Liegenschaft einschließlich der Beiträge der Rücklage von den
Wohnungseigentümern nach dem Verhältnis ihrer Miteigentumsanteile
bei Ende der Abrechnungsperiode zu tragen. Dies bedeutet, dass für
die bis zur Verbücherung des jeweiligen Eigentumsrechts geltend
gemachten Betriebs- und Heizkosten der bisherige Eigentümer, nach
der Verbücherung der neue Eigentümer zahlungspflichtig ist. Findet
ein Eigentümerwechsel statt, ist der Zeitpunkt der Einverleibung im
Grundbuch maßgebend. Dies gilt unabhängig vom Zeitpunkt der
Veräußerung und dem zwischen Veräußerer und Erwerber
(gegebenenfalls) festgelegten Stichtag. Dies betrifft allerdings
nur die Haftung nach außen und nicht die interne
Kostentragungspflicht, da meist andere vertragliche Vereinbarungen
erfolgen. Vorschreibungen richten sich somit an den aktuellen
Eigentümer laut Grundbuch. Der betroffene Wohnungseigentümer wird
sich üblicherweise bei seinem Rechtsvorgänger regressieren
können.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96778084" w:name="note5"/>
            <w:bookmarkEnd w:id="96778084"/>
            <w:bookmarkStart w:id="6835514746676" w:name="note5"/>
            <w:r>
              <w:rPr>
                <w:rFonts w:ascii="Arial" w:hAnsi="Arial" w:eastAsia="Arial" w:cs="Arial"/>
                <w:b/>
                <w:bCs/>
                <w:color w:val="000000"/>
                <w:position w:val="0"/>
                <w:sz w:val="20"/>
                <w:szCs w:val="20"/>
              </w:rPr>
              <w:t xml:space="preserve">[5]</w:t>
            </w:r>
            <w:bookmarkEnd w:id="6835514746676"/>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Immobilienertragsteuer</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Grundsätzlich unterliegen die Einkünfte aus privaten
Veräußerungen von Immobilien einem besonderen Steuersatz von
30 %. Gem § 30a Abs 2 EStG ist auf Antrag eine
Regelbesteuerung nach dem allgemeinen Tarif möglich.</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Es gibt aber Ausnahmen von der Verpflichtung zur Entrichtung der
Immobilienertragsteuer. Bei Einkünften aus der Veräußerung von
Eigentumswohnungen, wenn diese</w:t>
            </w:r>
          </w:p>
          <w:p>
            <w:pPr>
              <w:numPr>
                <w:ilvl w:val="0"/>
                <w:numId w:val="779707182"/>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ab der Anschaffung oder Fertigstellung bis zur Veräußerung für
mindestens zwei Jahre durchgehend als Hauptwohnsitz gedient haben
und der Hauptwohnsitz aufgegeben wird, oder</w:t>
            </w:r>
          </w:p>
          <w:p>
            <w:pPr>
              <w:numPr>
                <w:ilvl w:val="0"/>
                <w:numId w:val="779707182"/>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innerhalb der letzten zehn Jahre vor der Veräußerung mindestens
fünf Jahre durchgehend als Hauptwohnsitz gedient haben und der
Hauptwohnsitz aufgegeben wird.</w:t>
            </w:r>
          </w:p>
          <w:p>
            <w:pPr>
              <w:widowControl w:val="on"/>
              <w:pBdr/>
              <w:spacing w:before="0" w:after="0" w:line="288" w:lineRule="auto"/>
              <w:ind w:left="0" w:right="0"/>
              <w:jc w:val="left"/>
              <w:textAlignment w:val="top"/>
            </w:pPr>
            <w:hyperlink w:anchor="link5" w:history="1">
              <w:r>
                <w:rPr>
                  <w:rFonts w:ascii="Arial" w:hAnsi="Arial" w:eastAsia="Arial" w:cs="Arial"/>
                  <w:color w:val="006BB6"/>
                  <w:position w:val="0"/>
                  <w:sz w:val="20"/>
                  <w:szCs w:val="20"/>
                  <w:u w:val="single"/>
                </w:rPr>
                <w:t xml:space="preserve">Zurück</w:t>
              </w:r>
            </w:hyperlink>
          </w:p>
        </w:tc>
      </w:tr>
    </w:tbl>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79707182">
    <w:multiLevelType w:val="hybridMultilevel"/>
    <w:lvl w:ilvl="0">
      <w:start w:val="1"/>
      <w:numFmt w:val="lowerLetter"/>
      <w:lvlText w:val="%1."/>
      <w:lvlJc w:val="left"/>
      <w:pPr>
        <w:ind w:left="720" w:hanging="360"/>
      </w:pPr>
      <w:rPr/>
    </w:lvl>
    <w:lvl w:ilvl="1">
      <w:start w:val=""/>
      <w:numFmt w:val="lowerLetter"/>
      <w:lvlText w:val="%2."/>
      <w:lvlJc w:val="left"/>
      <w:pPr>
        <w:ind w:left="1440" w:hanging="360"/>
      </w:pPr>
      <w:rPr/>
    </w:lvl>
    <w:lvl w:ilvl="2">
      <w:start w:val=""/>
      <w:numFmt w:val="lowerLetter"/>
      <w:lvlText w:val="%3."/>
      <w:lvlJc w:val="left"/>
      <w:pPr>
        <w:ind w:left="2160" w:hanging="360"/>
      </w:pPr>
      <w:rPr/>
    </w:lvl>
    <w:lvl w:ilvl="3">
      <w:start w:val=""/>
      <w:numFmt w:val="lowerLetter"/>
      <w:lvlText w:val="%4."/>
      <w:lvlJc w:val="left"/>
      <w:pPr>
        <w:ind w:left="2880" w:hanging="360"/>
      </w:pPr>
      <w:rPr/>
    </w:lvl>
    <w:lvl w:ilvl="4">
      <w:start w:val=""/>
      <w:numFmt w:val="lowerLetter"/>
      <w:lvlText w:val="%5."/>
      <w:lvlJc w:val="left"/>
      <w:pPr>
        <w:ind w:left="3600" w:hanging="360"/>
      </w:pPr>
      <w:rPr/>
    </w:lvl>
    <w:lvl w:ilvl="5">
      <w:start w:val=""/>
      <w:numFmt w:val="lowerLetter"/>
      <w:lvlText w:val="%6."/>
      <w:lvlJc w:val="left"/>
      <w:pPr>
        <w:ind w:left="4320" w:hanging="360"/>
      </w:pPr>
      <w:rPr/>
    </w:lvl>
    <w:lvl w:ilvl="6">
      <w:start w:val=""/>
      <w:numFmt w:val="lowerLetter"/>
      <w:lvlText w:val="%7."/>
      <w:lvlJc w:val="left"/>
      <w:pPr>
        <w:ind w:left="5040" w:hanging="360"/>
      </w:pPr>
      <w:rPr/>
    </w:lvl>
    <w:lvl w:ilvl="7">
      <w:start w:val=""/>
      <w:numFmt w:val="lowerLetter"/>
      <w:lvlText w:val="%8."/>
      <w:lvlJc w:val="left"/>
      <w:pPr>
        <w:ind w:left="5760" w:hanging="360"/>
      </w:pPr>
      <w:rPr/>
    </w:lvl>
    <w:lvl w:ilvl="8">
      <w:start w:val=""/>
      <w:numFmt w:val="lowerLetter"/>
      <w:lvlText w:val="%9."/>
      <w:lvlJc w:val="left"/>
      <w:pPr>
        <w:ind w:left="6480" w:hanging="360"/>
      </w:pPr>
      <w:rPr/>
    </w:lvl>
  </w:abstractNum>
  <w:abstractNum w:abstractNumId="844320402">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41330208">
    <w:multiLevelType w:val="hybridMultilevel"/>
    <w:lvl w:ilvl="0">
      <w:start w:val="1"/>
      <w:numFmt w:val="lowerLetter"/>
      <w:lvlText w:val="%1."/>
      <w:lvlJc w:val="left"/>
      <w:pPr>
        <w:ind w:left="720" w:hanging="360"/>
      </w:pPr>
      <w:rPr/>
    </w:lvl>
    <w:lvl w:ilvl="1">
      <w:start w:val=""/>
      <w:numFmt w:val="lowerLetter"/>
      <w:lvlText w:val="%2."/>
      <w:lvlJc w:val="left"/>
      <w:pPr>
        <w:ind w:left="1440" w:hanging="360"/>
      </w:pPr>
      <w:rPr/>
    </w:lvl>
    <w:lvl w:ilvl="2">
      <w:start w:val=""/>
      <w:numFmt w:val="lowerLetter"/>
      <w:lvlText w:val="%3."/>
      <w:lvlJc w:val="left"/>
      <w:pPr>
        <w:ind w:left="2160" w:hanging="360"/>
      </w:pPr>
      <w:rPr/>
    </w:lvl>
    <w:lvl w:ilvl="3">
      <w:start w:val=""/>
      <w:numFmt w:val="lowerLetter"/>
      <w:lvlText w:val="%4."/>
      <w:lvlJc w:val="left"/>
      <w:pPr>
        <w:ind w:left="2880" w:hanging="360"/>
      </w:pPr>
      <w:rPr/>
    </w:lvl>
    <w:lvl w:ilvl="4">
      <w:start w:val=""/>
      <w:numFmt w:val="lowerLetter"/>
      <w:lvlText w:val="%5."/>
      <w:lvlJc w:val="left"/>
      <w:pPr>
        <w:ind w:left="3600" w:hanging="360"/>
      </w:pPr>
      <w:rPr/>
    </w:lvl>
    <w:lvl w:ilvl="5">
      <w:start w:val=""/>
      <w:numFmt w:val="lowerLetter"/>
      <w:lvlText w:val="%6."/>
      <w:lvlJc w:val="left"/>
      <w:pPr>
        <w:ind w:left="4320" w:hanging="360"/>
      </w:pPr>
      <w:rPr/>
    </w:lvl>
    <w:lvl w:ilvl="6">
      <w:start w:val=""/>
      <w:numFmt w:val="lowerLetter"/>
      <w:lvlText w:val="%7."/>
      <w:lvlJc w:val="left"/>
      <w:pPr>
        <w:ind w:left="5040" w:hanging="360"/>
      </w:pPr>
      <w:rPr/>
    </w:lvl>
    <w:lvl w:ilvl="7">
      <w:start w:val=""/>
      <w:numFmt w:val="lowerLetter"/>
      <w:lvlText w:val="%8."/>
      <w:lvlJc w:val="left"/>
      <w:pPr>
        <w:ind w:left="5760" w:hanging="360"/>
      </w:pPr>
      <w:rPr/>
    </w:lvl>
    <w:lvl w:ilvl="8">
      <w:start w:val=""/>
      <w:numFmt w:val="lowerLetter"/>
      <w:lvlText w:val="%9."/>
      <w:lvlJc w:val="left"/>
      <w:pPr>
        <w:ind w:left="6480" w:hanging="360"/>
      </w:pPr>
      <w:rPr/>
    </w:lvl>
  </w:abstractNum>
  <w:abstractNum w:abstractNumId="827440507">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246789123">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985413107">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19977746">
    <w:multiLevelType w:val="hybridMultilevel"/>
    <w:lvl w:ilvl="0" w:tplc="61325634">
      <w:start w:val="1"/>
      <w:numFmt w:val="decimal"/>
      <w:lvlText w:val="%1."/>
      <w:lvlJc w:val="left"/>
      <w:pPr>
        <w:ind w:left="720" w:hanging="360"/>
      </w:pPr>
    </w:lvl>
    <w:lvl w:ilvl="1" w:tplc="61325634" w:tentative="1">
      <w:start w:val="1"/>
      <w:numFmt w:val="lowerLetter"/>
      <w:lvlText w:val="%2."/>
      <w:lvlJc w:val="left"/>
      <w:pPr>
        <w:ind w:left="1440" w:hanging="360"/>
      </w:pPr>
    </w:lvl>
    <w:lvl w:ilvl="2" w:tplc="61325634" w:tentative="1">
      <w:start w:val="1"/>
      <w:numFmt w:val="lowerRoman"/>
      <w:lvlText w:val="%3."/>
      <w:lvlJc w:val="right"/>
      <w:pPr>
        <w:ind w:left="2160" w:hanging="180"/>
      </w:pPr>
    </w:lvl>
    <w:lvl w:ilvl="3" w:tplc="61325634" w:tentative="1">
      <w:start w:val="1"/>
      <w:numFmt w:val="decimal"/>
      <w:lvlText w:val="%4."/>
      <w:lvlJc w:val="left"/>
      <w:pPr>
        <w:ind w:left="2880" w:hanging="360"/>
      </w:pPr>
    </w:lvl>
    <w:lvl w:ilvl="4" w:tplc="61325634" w:tentative="1">
      <w:start w:val="1"/>
      <w:numFmt w:val="lowerLetter"/>
      <w:lvlText w:val="%5."/>
      <w:lvlJc w:val="left"/>
      <w:pPr>
        <w:ind w:left="3600" w:hanging="360"/>
      </w:pPr>
    </w:lvl>
    <w:lvl w:ilvl="5" w:tplc="61325634" w:tentative="1">
      <w:start w:val="1"/>
      <w:numFmt w:val="lowerRoman"/>
      <w:lvlText w:val="%6."/>
      <w:lvlJc w:val="right"/>
      <w:pPr>
        <w:ind w:left="4320" w:hanging="180"/>
      </w:pPr>
    </w:lvl>
    <w:lvl w:ilvl="6" w:tplc="61325634" w:tentative="1">
      <w:start w:val="1"/>
      <w:numFmt w:val="decimal"/>
      <w:lvlText w:val="%7."/>
      <w:lvlJc w:val="left"/>
      <w:pPr>
        <w:ind w:left="5040" w:hanging="360"/>
      </w:pPr>
    </w:lvl>
    <w:lvl w:ilvl="7" w:tplc="61325634" w:tentative="1">
      <w:start w:val="1"/>
      <w:numFmt w:val="lowerLetter"/>
      <w:lvlText w:val="%8."/>
      <w:lvlJc w:val="left"/>
      <w:pPr>
        <w:ind w:left="5760" w:hanging="360"/>
      </w:pPr>
    </w:lvl>
    <w:lvl w:ilvl="8" w:tplc="61325634" w:tentative="1">
      <w:start w:val="1"/>
      <w:numFmt w:val="lowerRoman"/>
      <w:lvlText w:val="%9."/>
      <w:lvlJc w:val="right"/>
      <w:pPr>
        <w:ind w:left="6480" w:hanging="180"/>
      </w:pPr>
    </w:lvl>
  </w:abstractNum>
  <w:abstractNum w:abstractNumId="19977745">
    <w:multiLevelType w:val="hybridMultilevel"/>
    <w:lvl w:ilvl="0" w:tplc="19106060">
      <w:start w:val="1"/>
      <w:numFmt w:val="decimal"/>
      <w:lvlText w:val="%1."/>
      <w:lvlJc w:val="left"/>
      <w:pPr>
        <w:ind w:left="720" w:hanging="360"/>
      </w:pPr>
    </w:lvl>
    <w:lvl w:ilvl="1" w:tplc="19106060" w:tentative="1">
      <w:start w:val="1"/>
      <w:numFmt w:val="lowerLetter"/>
      <w:lvlText w:val="%2."/>
      <w:lvlJc w:val="left"/>
      <w:pPr>
        <w:ind w:left="1440" w:hanging="360"/>
      </w:pPr>
    </w:lvl>
    <w:lvl w:ilvl="2" w:tplc="19106060" w:tentative="1">
      <w:start w:val="1"/>
      <w:numFmt w:val="lowerRoman"/>
      <w:lvlText w:val="%3."/>
      <w:lvlJc w:val="right"/>
      <w:pPr>
        <w:ind w:left="2160" w:hanging="180"/>
      </w:pPr>
    </w:lvl>
    <w:lvl w:ilvl="3" w:tplc="19106060" w:tentative="1">
      <w:start w:val="1"/>
      <w:numFmt w:val="decimal"/>
      <w:lvlText w:val="%4."/>
      <w:lvlJc w:val="left"/>
      <w:pPr>
        <w:ind w:left="2880" w:hanging="360"/>
      </w:pPr>
    </w:lvl>
    <w:lvl w:ilvl="4" w:tplc="19106060" w:tentative="1">
      <w:start w:val="1"/>
      <w:numFmt w:val="lowerLetter"/>
      <w:lvlText w:val="%5."/>
      <w:lvlJc w:val="left"/>
      <w:pPr>
        <w:ind w:left="3600" w:hanging="360"/>
      </w:pPr>
    </w:lvl>
    <w:lvl w:ilvl="5" w:tplc="19106060" w:tentative="1">
      <w:start w:val="1"/>
      <w:numFmt w:val="lowerRoman"/>
      <w:lvlText w:val="%6."/>
      <w:lvlJc w:val="right"/>
      <w:pPr>
        <w:ind w:left="4320" w:hanging="180"/>
      </w:pPr>
    </w:lvl>
    <w:lvl w:ilvl="6" w:tplc="19106060" w:tentative="1">
      <w:start w:val="1"/>
      <w:numFmt w:val="decimal"/>
      <w:lvlText w:val="%7."/>
      <w:lvlJc w:val="left"/>
      <w:pPr>
        <w:ind w:left="5040" w:hanging="360"/>
      </w:pPr>
    </w:lvl>
    <w:lvl w:ilvl="7" w:tplc="19106060" w:tentative="1">
      <w:start w:val="1"/>
      <w:numFmt w:val="lowerLetter"/>
      <w:lvlText w:val="%8."/>
      <w:lvlJc w:val="left"/>
      <w:pPr>
        <w:ind w:left="5760" w:hanging="360"/>
      </w:pPr>
    </w:lvl>
    <w:lvl w:ilvl="8" w:tplc="19106060" w:tentative="1">
      <w:start w:val="1"/>
      <w:numFmt w:val="lowerRoman"/>
      <w:lvlText w:val="%9."/>
      <w:lvlJc w:val="right"/>
      <w:pPr>
        <w:ind w:left="6480" w:hanging="180"/>
      </w:pPr>
    </w:lvl>
  </w:abstractNum>
  <w:abstractNum w:abstractNumId="425186069">
    <w:multiLevelType w:val="hybridMultilevel"/>
    <w:lvl w:ilvl="0">
      <w:start w:val="1"/>
      <w:numFmt w:val="lowerLetter"/>
      <w:lvlText w:val="%1."/>
      <w:lvlJc w:val="left"/>
      <w:pPr>
        <w:ind w:left="720" w:hanging="360"/>
      </w:pPr>
      <w:rPr/>
    </w:lvl>
    <w:lvl w:ilvl="1">
      <w:start w:val=""/>
      <w:numFmt w:val="lowerLetter"/>
      <w:lvlText w:val="%2."/>
      <w:lvlJc w:val="left"/>
      <w:pPr>
        <w:ind w:left="1440" w:hanging="360"/>
      </w:pPr>
      <w:rPr/>
    </w:lvl>
    <w:lvl w:ilvl="2">
      <w:start w:val=""/>
      <w:numFmt w:val="lowerLetter"/>
      <w:lvlText w:val="%3."/>
      <w:lvlJc w:val="left"/>
      <w:pPr>
        <w:ind w:left="2160" w:hanging="360"/>
      </w:pPr>
      <w:rPr/>
    </w:lvl>
    <w:lvl w:ilvl="3">
      <w:start w:val=""/>
      <w:numFmt w:val="lowerLetter"/>
      <w:lvlText w:val="%4."/>
      <w:lvlJc w:val="left"/>
      <w:pPr>
        <w:ind w:left="2880" w:hanging="360"/>
      </w:pPr>
      <w:rPr/>
    </w:lvl>
    <w:lvl w:ilvl="4">
      <w:start w:val=""/>
      <w:numFmt w:val="lowerLetter"/>
      <w:lvlText w:val="%5."/>
      <w:lvlJc w:val="left"/>
      <w:pPr>
        <w:ind w:left="3600" w:hanging="360"/>
      </w:pPr>
      <w:rPr/>
    </w:lvl>
    <w:lvl w:ilvl="5">
      <w:start w:val=""/>
      <w:numFmt w:val="lowerLetter"/>
      <w:lvlText w:val="%6."/>
      <w:lvlJc w:val="left"/>
      <w:pPr>
        <w:ind w:left="4320" w:hanging="360"/>
      </w:pPr>
      <w:rPr/>
    </w:lvl>
    <w:lvl w:ilvl="6">
      <w:start w:val=""/>
      <w:numFmt w:val="lowerLetter"/>
      <w:lvlText w:val="%7."/>
      <w:lvlJc w:val="left"/>
      <w:pPr>
        <w:ind w:left="5040" w:hanging="360"/>
      </w:pPr>
      <w:rPr/>
    </w:lvl>
    <w:lvl w:ilvl="7">
      <w:start w:val=""/>
      <w:numFmt w:val="lowerLetter"/>
      <w:lvlText w:val="%8."/>
      <w:lvlJc w:val="left"/>
      <w:pPr>
        <w:ind w:left="5760" w:hanging="360"/>
      </w:pPr>
      <w:rPr/>
    </w:lvl>
    <w:lvl w:ilvl="8">
      <w:start w:val=""/>
      <w:numFmt w:val="lowerLetter"/>
      <w:lvlText w:val="%9."/>
      <w:lvlJc w:val="left"/>
      <w:pPr>
        <w:ind w:left="6480" w:hanging="360"/>
      </w:pPr>
      <w:rPr/>
    </w:lvl>
  </w:abstractNum>
  <w:abstractNum w:abstractNumId="575089239">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19977744">
    <w:multiLevelType w:val="hybridMultilevel"/>
    <w:lvl w:ilvl="0" w:tplc="66274008">
      <w:start w:val="1"/>
      <w:numFmt w:val="decimal"/>
      <w:lvlText w:val="%1."/>
      <w:lvlJc w:val="left"/>
      <w:pPr>
        <w:ind w:left="720" w:hanging="360"/>
      </w:pPr>
    </w:lvl>
    <w:lvl w:ilvl="1" w:tplc="66274008" w:tentative="1">
      <w:start w:val="1"/>
      <w:numFmt w:val="lowerLetter"/>
      <w:lvlText w:val="%2."/>
      <w:lvlJc w:val="left"/>
      <w:pPr>
        <w:ind w:left="1440" w:hanging="360"/>
      </w:pPr>
    </w:lvl>
    <w:lvl w:ilvl="2" w:tplc="66274008" w:tentative="1">
      <w:start w:val="1"/>
      <w:numFmt w:val="lowerRoman"/>
      <w:lvlText w:val="%3."/>
      <w:lvlJc w:val="right"/>
      <w:pPr>
        <w:ind w:left="2160" w:hanging="180"/>
      </w:pPr>
    </w:lvl>
    <w:lvl w:ilvl="3" w:tplc="66274008" w:tentative="1">
      <w:start w:val="1"/>
      <w:numFmt w:val="decimal"/>
      <w:lvlText w:val="%4."/>
      <w:lvlJc w:val="left"/>
      <w:pPr>
        <w:ind w:left="2880" w:hanging="360"/>
      </w:pPr>
    </w:lvl>
    <w:lvl w:ilvl="4" w:tplc="66274008" w:tentative="1">
      <w:start w:val="1"/>
      <w:numFmt w:val="lowerLetter"/>
      <w:lvlText w:val="%5."/>
      <w:lvlJc w:val="left"/>
      <w:pPr>
        <w:ind w:left="3600" w:hanging="360"/>
      </w:pPr>
    </w:lvl>
    <w:lvl w:ilvl="5" w:tplc="66274008" w:tentative="1">
      <w:start w:val="1"/>
      <w:numFmt w:val="lowerRoman"/>
      <w:lvlText w:val="%6."/>
      <w:lvlJc w:val="right"/>
      <w:pPr>
        <w:ind w:left="4320" w:hanging="180"/>
      </w:pPr>
    </w:lvl>
    <w:lvl w:ilvl="6" w:tplc="66274008" w:tentative="1">
      <w:start w:val="1"/>
      <w:numFmt w:val="decimal"/>
      <w:lvlText w:val="%7."/>
      <w:lvlJc w:val="left"/>
      <w:pPr>
        <w:ind w:left="5040" w:hanging="360"/>
      </w:pPr>
    </w:lvl>
    <w:lvl w:ilvl="7" w:tplc="66274008" w:tentative="1">
      <w:start w:val="1"/>
      <w:numFmt w:val="lowerLetter"/>
      <w:lvlText w:val="%8."/>
      <w:lvlJc w:val="left"/>
      <w:pPr>
        <w:ind w:left="5760" w:hanging="360"/>
      </w:pPr>
    </w:lvl>
    <w:lvl w:ilvl="8" w:tplc="66274008" w:tentative="1">
      <w:start w:val="1"/>
      <w:numFmt w:val="lowerRoman"/>
      <w:lvlText w:val="%9."/>
      <w:lvlJc w:val="right"/>
      <w:pPr>
        <w:ind w:left="6480" w:hanging="180"/>
      </w:pPr>
    </w:lvl>
  </w:abstractNum>
  <w:abstractNum w:abstractNumId="19977743">
    <w:multiLevelType w:val="hybridMultilevel"/>
    <w:lvl w:ilvl="0" w:tplc="1607641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9977743">
    <w:abstractNumId w:val="19977743"/>
  </w:num>
  <w:num w:numId="19977744">
    <w:abstractNumId w:val="19977744"/>
  </w:num>
  <w:num w:numId="575089239">
    <w:abstractNumId w:val="575089239"/>
  </w:num>
  <w:num w:numId="425186069">
    <w:abstractNumId w:val="425186069"/>
  </w:num>
  <w:num w:numId="19977745">
    <w:abstractNumId w:val="19977745"/>
  </w:num>
  <w:num w:numId="19977746">
    <w:abstractNumId w:val="19977746"/>
  </w:num>
  <w:num w:numId="985413107">
    <w:abstractNumId w:val="985413107"/>
  </w:num>
  <w:num w:numId="246789123">
    <w:abstractNumId w:val="246789123"/>
  </w:num>
  <w:num w:numId="827440507">
    <w:abstractNumId w:val="827440507"/>
  </w:num>
  <w:num w:numId="41330208">
    <w:abstractNumId w:val="41330208"/>
  </w:num>
  <w:num w:numId="844320402">
    <w:abstractNumId w:val="844320402"/>
  </w:num>
  <w:num w:numId="779707182">
    <w:abstractNumId w:val="77970718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9543283" Type="http://schemas.openxmlformats.org/officeDocument/2006/relationships/numbering" Target="numbering.xml"/><Relationship Id="rId720608508"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