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7126452" w:name="document"/>
    <w:bookmarkEnd w:id="87126452"/>
    <w:p/>
    <w:p>
      <w:pPr>
        <w:widowControl w:val="on"/>
        <w:pBdr/>
        <w:spacing w:before="0" w:after="280" w:line="240" w:lineRule="auto"/>
        <w:ind w:left="0" w:right="0"/>
        <w:jc w:val="left"/>
      </w:pPr>
      <w:r>
        <w:rPr>
          <w:rFonts w:ascii="Arial" w:hAnsi="Arial" w:eastAsia="Arial" w:cs="Arial"/>
          <w:color w:val="363A40"/>
          <w:sz w:val="24"/>
          <w:szCs w:val="24"/>
        </w:rPr>
        <w:t xml:space="preserve">Dokument-ID: 585701 | Andrea Futterknecht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Vorausvereinbarung Ehewohnung</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Gesetzliche Regelung</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Ehewohnung, die ein Ehegatte in die Ehe eingebracht oder
von Todes wegen erworben oder die ihm ein Dritter geschenkt hat,
ist in die Aufteilung dann einzubeziehen, wenn
</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 vereinbart wurde,</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andere Ehegatte auf ihre Weiterbenützung zur Sicherung
seiner Lebensbedürfnisse angewiesen ist oder</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gemeinsames Kind an ihrer Weiterbenützung einen
berücksichtigungswürdigen Bedarf hat (§ 82 Abs 2
EheG).</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Ehewohnung kann das Gericht, wenn sie kraft Eigentums
oder eines anderen dinglichen Rechtes oder beider Ehegatten benützt
wird, die Übertragung des Eigentums oder des dinglichen Rechtes von
einem auf den anderen Ehegatten oder die Begründung eines
schuldrechtlichen Rechtsverhältnisses zugunsten eines Ehegatten
anordnen.</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Übertragung des Eigentums oder eines dinglichen Rechts an
einer Ehewohnung nach § 82 Abs 2 EheG können die
Ehegatten durch Vereinbarung ausschließen (§ 87 Abs 1
EheG).</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genannten Regelungen gelten sinngemäß für eingetragene
Partner.</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Begriff</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Ehewohnung ist jener Verband, der der Abwicklung des
ehelichen Lebens dient und in dem die Haushaltsführung, allenfalls
Pflege und Erziehung der Kinder gewöhnlich stattfindet. Nicht
entscheidend ist, auf welchem Rechtsverhältnis das gemeinsame
Wohnen beruht. Der Begriff der Ehewohnung ist, auch angesichts des
§ 97 ABGB, weit auszulegen. § 97 ABGB gilt nämlich nicht
nur für eine von beiden Ehegatten bewohnte Wohnung, sondern auch
für eine solche, die von den Gatten nicht mehr gemeinsam bewohnt
worden ist, wenn sie nur seinerzeit als Ehewohnung bestimmt wurde
und von einem Ehegatten, der nicht über sie verfügen kann, dringend
benötigt wird. Es können auch mehrere Wohnungen Ehewohnungen
desselben Paares sein, etwa wenn das Paar eine Hälfte des Jahres in
einer Stadtwohnung und die andere Hälfte des Jahres im Gartenhaus
verbringt. Auch ein Haus kann Ehewohnung sein, falls es für
eheliche Zwecke verwendet worden ist (</w:t>
      </w:r>
      <w:r>
        <w:rPr>
          <w:rFonts w:ascii="Arial" w:hAnsi="Arial" w:eastAsia="Arial" w:cs="Arial"/>
          <w:i/>
          <w:iCs/>
          <w:color w:val="000000"/>
          <w:sz w:val="20"/>
          <w:szCs w:val="20"/>
        </w:rPr>
        <w:t xml:space="preserve">Schwimann</w:t>
      </w:r>
      <w:r>
        <w:rPr>
          <w:rFonts w:ascii="Arial" w:hAnsi="Arial" w:eastAsia="Arial" w:cs="Arial"/>
          <w:color w:val="000000"/>
          <w:sz w:val="20"/>
          <w:szCs w:val="20"/>
        </w:rPr>
        <w:t xml:space="preserve">, ABGB I³,
Rz 14 zu § 81 EheG).</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Wohnung ist keine Ehewohnung, wenn sie von den Ehegatten
während aufrechter ehelicher Lebensgemeinschaft zu keinem Zeitpunkt
zur gemeinsamen Lebensführung benützt wurde. Auf die Widmung der
Räumlichkeiten durch die Ehegatten bzw deren Absicht kommt es daher
nicht an (OGH 26.04.2017, 1 Ob 51/17g).</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Grundsätzlich kann nicht nur ein Haus, sondern auch der Garten
Ehewohnung sein; das ergibt sich schon daraus, dass auch ein Garten
zu jenem Bereich gehört, in dem sich das Eheleben und Familienleben
abspielen kann, in dem sich die Familienmitglieder in der Freizeit
zurückziehen, um irgendwelchen Beschäftigungen nachzugehen oder
sich zu erholen (RIS-Justiz RS0058318).</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Zusammenfassung der Neuerungen und
Konsequenzen</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Opting in-Modell:
</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Ehegatten können vereinbaren, dass die (grundsätzlich nicht
der Aufteilung unterliegende, weil eingebrachte, geerbte oder vom
Dritten geschenkte) Ehewohnung unbedingt in das
Aufteilungsverfahren einzubeziehen ist.</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Aufteilungsgericht entscheidet darüber, ob das
Eigentumsrecht an der Wohnung belassen und eine Ausgleichszahlung
festgelegt oder ob das Eigentumsrecht übertragen wird.</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Wurde hineinoptiert, spielen bei der Aufteilung der Wohnung die
Billigkeit gem § 83 EheG und die Beiträge der Ehegatten
für die Ehewohnung eine Rolle.</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Konnexe Schulden (die während der Ehe zur Instandhaltung oder
Verbesserung der Ehewohnung eingegangen wurden) mindern den Wert
der aufzuteilenden Aktiven durch direkten Abzug (Zak 2009, 323
unter Hinweis auf OGH 10 Ob 15/04k).</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Opting out-Modell:
</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Ehegatten können vereinbaren, dass bei einer in die
Aufteilung einzubeziehenden Ehewohnung die Übertragung des
Eigentums oder eines anderen dinglichen Rechtes für die Aufteilung
ausgeschlossen wird.</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in Zak 2010, S 11 besteht die
Möglichkeit zum Hinausoptieren nicht nur für die eingebrachte,
geerbte und vom Dritten geschenkte Wohnung, sondern auch für die
während der ehelichen Gemeinschaft von beiden Ehegatten geschaffene
Ehewohnung.</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umgekehrte Fall (Vorausvereinbarung darüber, dass die
Rechte an der Wohnung im Fall der Scheidung, Nichtigerklärung oder
Aufhebung an einen Ehepartner übertragen werden) ist gesetzlich
nicht geregelt.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(Zak 2010, S 11) sieht
es aufgrund eines Größenschlusses jedenfalls als zulässig an, dass
bereits im Vorhinein die Übertragung der Wohnung festgelegt
wird.</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(schlichte) Miet-, Genossenschafts- oder Dienstwohnungen
besteht keine Möglichkeit, den Eintritt des Ehepartners in den
entsprechenden Vertrag aufgrund einer Entscheidung des
Aufteilungsgerichtes zu verhindern.</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Formvorschrift</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Vorausvereinbarung über die Aufteilung der Ehewohnung ist
notariatsaktspflichtig.</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Praktische Anwendungsfälle für
Wohnungsvorausvereinbarungen</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Opting in-Modell wird dann interessant sein, wenn
Lebensgefährten gemeinsam ein Haus auf einer Liegenschaft
errichten, die im Alleineigentum einer der Lebensgefährten steht.
Ohne Opting in wäre die Liegenschaft samt Haus infolge der erst
späteren Eheschließung als eingebracht gem § 82
Abs 1 EheG anzusehen – und damit aus der Aufteilungsmasse
auszuscheiden (EF-Z [2010] 01, S 10).</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Opting out-Modell bietet insbesondere dem Eigentümer
eingebrachter Wohnungen davor Schutz, dass die Wohnung im Rahmen
der Aufteilung an den Ehepartner geht.</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Bindung des Gerichtes</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Vereinbarung über den Ausschluss der Übertragung des
Eigentums bzw eines anderen dinglichen Rechts bindet das
Aufteilungsgericht.</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vertritt in EF-Z (2010) 01, S 11
allerdings die Ansicht, dass eine Opting out-Vereinbarung über eine
während aufrechter Ehe erworbene oder von einem Ehegatten
eingebrachte und aufgrund der erzielten Wertschöpfung während der
Ehe nunmehr aber als der Aufteilungsmasse zugehörig anzusehende
Ehewohnung der Vereinbarungskontrolle nach § 97 Abs 2
EheG und § 97 Abs 3 EheG unterliegt.</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einer im Voraus geschlossenen Vereinbarung über die Nutzung
der Ehewohnung durch einen Ehegatten kann das Gericht bei der
Aufteilung nur abweichen, soweit der andere Ehegatte oder ein
gemeinsames Kind bzw der eingetragene Partner seine
Lebensbedürfnisse nicht hinreichend decken kann oder eine deutliche
Verschlechterung seiner Lebensverhältnisse hinnehmen müsste
(§ 97 Abs 3 EheG). Nach den Materialien ist die
erstgenannte Ausnahme beispielsweise dann gegeben, wenn der Auszug
aus der Wohnung für den Ehegatten mit einem Verlust des
Arbeitsplatzes oder für das Kind mit einem solchen Wechsel der
Schule oder des Ausbildungsplatzes verbunden ist, der die weitere
Entwicklung gefährden kann.</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Sofern das Gericht von einer Vorausvereinbarung abweicht, hat
es insbesondere
</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die Gestaltung der ehelichen Lebensverhältnisse,</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Dauer der Ehe sowie</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darauf Bedacht zu nehmen, inwieweit der Vereinbarung eine
rechtliche Beratung vorangegangen ist und</w:t>
      </w:r>
    </w:p>
    <w:p>
      <w:pPr>
        <w:numPr>
          <w:ilvl w:val="1"/>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welcher Form sie geschlossen wurde.</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Aufzählung ist (nach den Materialien) demonstrativ.</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Abgrenzungsprobleme zum sonstigen
Gebrauchsvermögen</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Abgrenzung hat zum einen Bedeutung für die
Abweichungsmöglichkeiten durch das Aufteilungsgericht, zum anderen
für die Frage der notwendigen Form der Vereinbarung.</w:t>
      </w:r>
    </w:p>
    <w:p>
      <w:pPr>
        <w:numPr>
          <w:ilvl w:val="0"/>
          <w:numId w:val="63232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in EF-Z (2010) 01, S 9 werden
jedenfalls zur Ehewohnung die unselbstständigen Bestandteile
gem § 294 ABGB gehören, wie etwa eine
Badezimmereinrichtung, fixierte Einbauschränke, die nicht
entfernbar sind, ohne dass damit irgendeine wirtschaftliche
Beeinträchtigung verbunden wäre (SZ 57/166 udgl). Die sonstige
Wohnungseinrichtung (etwa Möbel, Teppiche etc, also selbstständige
Bestandteile gem § 294 ABGB oder gar Zubehör
gem § 297 ABGB) ist jedoch eheliches Gebrauchsvermögen.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weist darauf hin, dass eine allzu großzügige
Betrachtungsweise des Begriffs Ehewohnung (wie etwa im Zusammenhang
mit dem gesetzlichen Vorausvermächtnis nach § 758 ABGB) zu
vermeiden ist, weil sich der Gesetzgeber offensichtlich doch
bewusst für eine Differenzierung zwischen Ehewohnung (Wohnung) und
ehelichem Gebrauchsvermögen entschieden hat; gerade der Hausrat, um
den es im Zusammenhang mit der Differenzierung primär geht, ist
jedoch (nur) eheliches Gebrauchsvermögen und nicht (mehr)
Ehewohnung.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3249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546836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7046704">
    <w:multiLevelType w:val="hybridMultilevel"/>
    <w:lvl w:ilvl="0" w:tplc="73280552">
      <w:start w:val="1"/>
      <w:numFmt w:val="decimal"/>
      <w:lvlText w:val="%1."/>
      <w:lvlJc w:val="left"/>
      <w:pPr>
        <w:ind w:left="720" w:hanging="360"/>
      </w:pPr>
    </w:lvl>
    <w:lvl w:ilvl="1" w:tplc="73280552" w:tentative="1">
      <w:start w:val="1"/>
      <w:numFmt w:val="lowerLetter"/>
      <w:lvlText w:val="%2."/>
      <w:lvlJc w:val="left"/>
      <w:pPr>
        <w:ind w:left="1440" w:hanging="360"/>
      </w:pPr>
    </w:lvl>
    <w:lvl w:ilvl="2" w:tplc="73280552" w:tentative="1">
      <w:start w:val="1"/>
      <w:numFmt w:val="lowerRoman"/>
      <w:lvlText w:val="%3."/>
      <w:lvlJc w:val="right"/>
      <w:pPr>
        <w:ind w:left="2160" w:hanging="180"/>
      </w:pPr>
    </w:lvl>
    <w:lvl w:ilvl="3" w:tplc="73280552" w:tentative="1">
      <w:start w:val="1"/>
      <w:numFmt w:val="decimal"/>
      <w:lvlText w:val="%4."/>
      <w:lvlJc w:val="left"/>
      <w:pPr>
        <w:ind w:left="2880" w:hanging="360"/>
      </w:pPr>
    </w:lvl>
    <w:lvl w:ilvl="4" w:tplc="73280552" w:tentative="1">
      <w:start w:val="1"/>
      <w:numFmt w:val="lowerLetter"/>
      <w:lvlText w:val="%5."/>
      <w:lvlJc w:val="left"/>
      <w:pPr>
        <w:ind w:left="3600" w:hanging="360"/>
      </w:pPr>
    </w:lvl>
    <w:lvl w:ilvl="5" w:tplc="73280552" w:tentative="1">
      <w:start w:val="1"/>
      <w:numFmt w:val="lowerRoman"/>
      <w:lvlText w:val="%6."/>
      <w:lvlJc w:val="right"/>
      <w:pPr>
        <w:ind w:left="4320" w:hanging="180"/>
      </w:pPr>
    </w:lvl>
    <w:lvl w:ilvl="6" w:tplc="73280552" w:tentative="1">
      <w:start w:val="1"/>
      <w:numFmt w:val="decimal"/>
      <w:lvlText w:val="%7."/>
      <w:lvlJc w:val="left"/>
      <w:pPr>
        <w:ind w:left="5040" w:hanging="360"/>
      </w:pPr>
    </w:lvl>
    <w:lvl w:ilvl="7" w:tplc="73280552" w:tentative="1">
      <w:start w:val="1"/>
      <w:numFmt w:val="lowerLetter"/>
      <w:lvlText w:val="%8."/>
      <w:lvlJc w:val="left"/>
      <w:pPr>
        <w:ind w:left="5760" w:hanging="360"/>
      </w:pPr>
    </w:lvl>
    <w:lvl w:ilvl="8" w:tplc="73280552" w:tentative="1">
      <w:start w:val="1"/>
      <w:numFmt w:val="lowerRoman"/>
      <w:lvlText w:val="%9."/>
      <w:lvlJc w:val="right"/>
      <w:pPr>
        <w:ind w:left="6480" w:hanging="180"/>
      </w:pPr>
    </w:lvl>
  </w:abstractNum>
  <w:abstractNum w:abstractNumId="17046703">
    <w:multiLevelType w:val="hybridMultilevel"/>
    <w:lvl w:ilvl="0" w:tplc="45742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46703">
    <w:abstractNumId w:val="17046703"/>
  </w:num>
  <w:num w:numId="17046704">
    <w:abstractNumId w:val="17046704"/>
  </w:num>
  <w:num w:numId="355468364">
    <w:abstractNumId w:val="355468364"/>
  </w:num>
  <w:num w:numId="63232491">
    <w:abstractNumId w:val="63232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28645756" Type="http://schemas.openxmlformats.org/officeDocument/2006/relationships/numbering" Target="numbering.xml"/><Relationship Id="rId30657215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