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835493" w:name="document"/>
    <w:bookmarkEnd w:id="7835493"/>
    <w:p/>
    <w:p>
      <w:pPr>
        <w:widowControl w:val="on"/>
        <w:pBdr/>
        <w:spacing w:before="0" w:after="280" w:line="240" w:lineRule="auto"/>
        <w:ind w:left="0" w:right="0"/>
        <w:jc w:val="left"/>
      </w:pPr>
      <w:r>
        <w:rPr>
          <w:rFonts w:ascii="Arial" w:hAnsi="Arial" w:eastAsia="Arial" w:cs="Arial"/>
          <w:color w:val="363A40"/>
          <w:sz w:val="24"/>
          <w:szCs w:val="24"/>
        </w:rPr>
        <w:t xml:space="preserve">Dokument-ID: 822628 | Christoph Naske -
Redaktion FORUM Media - Albert Scherzer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Kaufvertrag über eine Eigentumswohnung mit einer Person eines
Drittstaats gem Stmk Grundverkehrsgesetz</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Der Vertrag ist darauf abgestimmt, dass als Käufer eine natürliche
Person mit Staatsangehörigkeit eines Drittstaates (also keines
Mitgliedsstaates der Europäischen Union) auftritt.</w:t>
      </w:r>
    </w:p>
    <w:p>
      <w:r>
        <w:pict>
          <v:rect id="_x0000_i1026" style="width:0;height:1.5pt" o:hralign="center" o:hrstd="t" o:hr="t" o:hrnoshade="t" fillcolor="#a0a0a0" stroked="f"/>
        </w:pic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Kaufvertrag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Hans Müller, geb 01.09.1941</w:t>
      </w:r>
      <w:r>
        <w:rPr>
          <w:rFonts w:ascii="Arial" w:hAnsi="Arial" w:eastAsia="Arial" w:cs="Arial"/>
          <w:color w:val="000000"/>
          <w:sz w:val="20"/>
          <w:szCs w:val="20"/>
        </w:rPr>
        <w:br/>
        <w:t xml:space="preserve">3100 St. Pölten, Wallseerstraße 13</w:t>
      </w:r>
      <w:r>
        <w:rPr>
          <w:rFonts w:ascii="Arial" w:hAnsi="Arial" w:eastAsia="Arial" w:cs="Arial"/>
          <w:color w:val="000000"/>
          <w:sz w:val="20"/>
          <w:szCs w:val="20"/>
        </w:rPr>
        <w:br/>
        <w:t xml:space="preserve">und</w:t>
      </w:r>
      <w:r>
        <w:rPr>
          <w:rFonts w:ascii="Arial" w:hAnsi="Arial" w:eastAsia="Arial" w:cs="Arial"/>
          <w:color w:val="000000"/>
          <w:sz w:val="20"/>
          <w:szCs w:val="20"/>
        </w:rPr>
        <w:br/>
        <w:t xml:space="preserve">Petra Müller, geb 21.08.1973</w:t>
      </w:r>
      <w:r>
        <w:rPr>
          <w:rFonts w:ascii="Arial" w:hAnsi="Arial" w:eastAsia="Arial" w:cs="Arial"/>
          <w:color w:val="000000"/>
          <w:sz w:val="20"/>
          <w:szCs w:val="20"/>
        </w:rPr>
        <w:br/>
        <w:t xml:space="preserve">3100 St. Pölten, Wallseerstraße 13</w:t>
      </w:r>
      <w:r>
        <w:rPr>
          <w:rFonts w:ascii="Arial" w:hAnsi="Arial" w:eastAsia="Arial" w:cs="Arial"/>
          <w:color w:val="000000"/>
          <w:sz w:val="20"/>
          <w:szCs w:val="20"/>
        </w:rPr>
        <w:br/>
        <w:t xml:space="preserve">als „Verkäufer“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Anastasia Irina Kolokov, geb 02.05.1970</w:t>
      </w:r>
      <w:r>
        <w:rPr>
          <w:rFonts w:ascii="Arial" w:hAnsi="Arial" w:eastAsia="Arial" w:cs="Arial"/>
          <w:color w:val="000000"/>
          <w:sz w:val="20"/>
          <w:szCs w:val="20"/>
        </w:rPr>
        <w:br/>
        <w:t xml:space="preserve">2100 Korneuburg, Hauptplatz 37/20</w:t>
      </w:r>
      <w:r>
        <w:rPr>
          <w:rFonts w:ascii="Arial" w:hAnsi="Arial" w:eastAsia="Arial" w:cs="Arial"/>
          <w:color w:val="000000"/>
          <w:sz w:val="20"/>
          <w:szCs w:val="20"/>
        </w:rPr>
        <w:br/>
        <w:t xml:space="preserve">als „Käuferin“ andererseits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Hans Müller, geb 01.09.1941 und Petra Müller, geb 21.08.1973 –
im Folgenden „Verkäufer“ genannt – sind Eigentümer nachstehender
Liegenschaftsanteile:</w:t>
      </w:r>
    </w:p>
    <w:p>
      <w:pPr>
        <w:widowControl w:val="on"/>
        <w:pBdr/>
        <w:spacing w:before="140" w:after="240" w:line="288" w:lineRule="auto"/>
        <w:ind w:left="0" w:right="0"/>
        <w:jc w:val="left"/>
      </w:pPr>
      <w:r>
        <w:rPr>
          <w:rFonts w:ascii="Arial" w:hAnsi="Arial" w:eastAsia="Arial" w:cs="Arial"/>
          <w:color w:val="000000"/>
          <w:sz w:val="20"/>
          <w:szCs w:val="20"/>
        </w:rPr>
        <w:t xml:space="preserve">Der Grundbuchsstand ergibt sich aus dem integrierten
Grundbuchsauszug wie folgt:</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 64157 Waltersdorf</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124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BEZIRKSGERICHT Hartberg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Besondere Abschrift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Abfragedatum 2019-27-10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4567/2010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Wohnungseigentum</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Salierigasse 34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47</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Wallrißstraße 9</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362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Hans</w:t>
            </w:r>
            <w:r>
              <w:rPr>
                <w:rFonts w:ascii="Arial" w:hAnsi="Arial" w:eastAsia="Arial" w:cs="Arial"/>
                <w:color w:val="000000"/>
                <w:position w:val="0"/>
                <w:sz w:val="20"/>
                <w:szCs w:val="20"/>
                <w:shd w:val="clear" w:color="auto" w:fill="FFFFFF"/>
              </w:rPr>
              <w:br/>
              <w:t xml:space="preserve">Geb: 1941-09-01 Adr: Wallseerstr. 13 3100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Petra</w:t>
            </w:r>
            <w:r>
              <w:rPr>
                <w:rFonts w:ascii="Arial" w:hAnsi="Arial" w:eastAsia="Arial" w:cs="Arial"/>
                <w:color w:val="000000"/>
                <w:position w:val="0"/>
                <w:sz w:val="20"/>
                <w:szCs w:val="20"/>
                <w:shd w:val="clear" w:color="auto" w:fill="FFFFFF"/>
              </w:rPr>
              <w:br/>
              <w:t xml:space="preserve">Geb: 1973-08-21 Adr: Wallseerstr. 13 3100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Lasten</w:t>
      </w:r>
    </w:p>
    <w:p>
      <w:pPr>
        <w:widowControl w:val="on"/>
        <w:pBdr/>
        <w:spacing w:before="140" w:after="240" w:line="288" w:lineRule="auto"/>
        <w:ind w:left="0" w:right="0"/>
        <w:jc w:val="left"/>
      </w:pPr>
      <w:r>
        <w:rPr>
          <w:rFonts w:ascii="Arial" w:hAnsi="Arial" w:eastAsia="Arial" w:cs="Arial"/>
          <w:color w:val="000000"/>
          <w:sz w:val="20"/>
          <w:szCs w:val="20"/>
        </w:rPr>
        <w:t xml:space="preserve">Ob der kaufgegenständlichen Liegenschaft haften nachstehende
Lasten aus:</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5193/1998 Pfandurkunde 1998-09-07</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Pfandrecht Höchstbetrag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2,700.000,00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Raiffeisenbank Prinzersdorf registrierte Genossenschaft mit
beschränkter Haftung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3941/2000 Pfandurkunde 2000-06-26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Pfandrecht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12 % Z, 5 % VuZZ, NGS 100.000,00</w:t>
            </w:r>
            <w:r>
              <w:rPr>
                <w:rFonts w:ascii="Arial" w:hAnsi="Arial" w:eastAsia="Arial" w:cs="Arial"/>
                <w:color w:val="000000"/>
                <w:position w:val="0"/>
                <w:sz w:val="20"/>
                <w:szCs w:val="20"/>
                <w:shd w:val="clear" w:color="auto" w:fill="FFFFFF"/>
              </w:rPr>
              <w:br/>
              <w:t xml:space="preserve">für Raiffeisenbank Prinzersdorf registrierte Genossenschaft mit
beschränkter Haftung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7293/2000 Pfandurkunde 2000-10-31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Pfandrecht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12 % Z, 5 % VuZZ, NGS 20.000,00</w:t>
            </w:r>
            <w:r>
              <w:rPr>
                <w:rFonts w:ascii="Arial" w:hAnsi="Arial" w:eastAsia="Arial" w:cs="Arial"/>
                <w:color w:val="000000"/>
                <w:position w:val="0"/>
                <w:sz w:val="20"/>
                <w:szCs w:val="20"/>
                <w:shd w:val="clear" w:color="auto" w:fill="FFFFFF"/>
              </w:rPr>
              <w:br/>
              <w:t xml:space="preserve">für Raiffeisenbank Prinzersdorf registrierte Genossenschaft mit
beschränkter Haftung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Diese Liegenschaftsanteile, mit dem Wohnungseigentum an W 4 samt
Stellplatz 8 untrennbar verbunden sind, bilden nun samt allen damit
verbundenen Rechten und Pflichten, so wie die Verkäufer sie
ausgeübt haben oder ausüben hätten können, den Gegenstand dieses
Kaufvertrages.</w:t>
      </w:r>
    </w:p>
    <w:p>
      <w:pPr>
        <w:widowControl w:val="on"/>
        <w:pBdr/>
        <w:spacing w:before="140" w:after="240" w:line="288" w:lineRule="auto"/>
        <w:ind w:left="0" w:right="0"/>
        <w:jc w:val="left"/>
      </w:pPr>
      <w:r>
        <w:rPr>
          <w:rFonts w:ascii="Arial" w:hAnsi="Arial" w:eastAsia="Arial" w:cs="Arial"/>
          <w:color w:val="000000"/>
          <w:sz w:val="20"/>
          <w:szCs w:val="20"/>
        </w:rPr>
        <w:t xml:space="preserve">Die im C-Blatt angeführten Lasten werden von der Käuferin
übernommen.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Übergabe/Übernahme</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verkaufen und übergeben nun an Anastasia Irina
Kolokov, geb 02.05.1970 – im Folgenden kurz
</w:t>
      </w:r>
      <w:r>
        <w:rPr>
          <w:rFonts w:ascii="Arial" w:hAnsi="Arial" w:eastAsia="Arial" w:cs="Arial"/>
          <w:b/>
          <w:bCs/>
          <w:color w:val="000000"/>
          <w:sz w:val="20"/>
          <w:szCs w:val="20"/>
        </w:rPr>
        <w:t xml:space="preserve">„Käuferin“</w:t>
      </w:r>
      <w:r>
        <w:rPr>
          <w:rFonts w:ascii="Arial" w:hAnsi="Arial" w:eastAsia="Arial" w:cs="Arial"/>
          <w:color w:val="000000"/>
          <w:sz w:val="20"/>
          <w:szCs w:val="20"/>
        </w:rPr>
        <w:t xml:space="preserve"> genannt – und diese kauft und übernimmt
nun den in Pkt I. näher genannten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Die tatsächliche körperliche Übergabe erfolgt binnen drei Wochen
nach Eingang des Kaufpreises sowie Nebengebühren beim Treuhänder
durch Übergabe sämtlicher das Objekt sperrender Schlüssel.</w:t>
      </w:r>
    </w:p>
    <w:p>
      <w:pPr>
        <w:widowControl w:val="on"/>
        <w:pBdr/>
        <w:spacing w:before="140" w:after="240" w:line="288" w:lineRule="auto"/>
        <w:ind w:left="0" w:right="0"/>
        <w:jc w:val="left"/>
      </w:pPr>
      <w:r>
        <w:rPr>
          <w:rFonts w:ascii="Arial" w:hAnsi="Arial" w:eastAsia="Arial" w:cs="Arial"/>
          <w:color w:val="000000"/>
          <w:sz w:val="20"/>
          <w:szCs w:val="20"/>
        </w:rPr>
        <w:t xml:space="preserve">Die Übergabe erfolgt vollständig geräumt von eigenen Fahrnissen
der Verkäufer. Sollte die Liegenschaft sich am hier vorgesehenen
Tag der Übergabe nicht in einem vollständig geräumten und
besenreinen Zustand befinden, ist die Käuferin berechtigt,
sämtliche noch in der Liegenschaft befindlichen Fahrnisse aus der
Liegenschaft zu entfernen und zu entsorgen. Die Verkäufer
verpflichten sich, der Käuferin alle dadurch entstehenden Kosten zu
ersetzen.</w:t>
      </w:r>
    </w:p>
    <w:p>
      <w:pPr>
        <w:widowControl w:val="on"/>
        <w:pBdr/>
        <w:spacing w:before="140" w:after="240" w:line="288" w:lineRule="auto"/>
        <w:ind w:left="0" w:right="0"/>
        <w:jc w:val="left"/>
      </w:pPr>
      <w:r>
        <w:rPr>
          <w:rFonts w:ascii="Arial" w:hAnsi="Arial" w:eastAsia="Arial" w:cs="Arial"/>
          <w:color w:val="000000"/>
          <w:sz w:val="20"/>
          <w:szCs w:val="20"/>
        </w:rPr>
        <w:t xml:space="preserve">Gleichzeitig mit der Übergabe haben die Verkäufer der Käuferin
sämtliche den Vertragsgegenstand betreffenden Unterlagen und
Bestätigungen zu übergeben, sofern dies nicht bereits zu einem
früheren Zeitpunkt bereits geschehen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Vertragsstichtag</w:t>
      </w:r>
    </w:p>
    <w:p>
      <w:pPr>
        <w:widowControl w:val="on"/>
        <w:pBdr/>
        <w:spacing w:before="140" w:after="240" w:line="288" w:lineRule="auto"/>
        <w:ind w:left="0" w:right="0"/>
        <w:jc w:val="left"/>
      </w:pPr>
      <w:r>
        <w:rPr>
          <w:rFonts w:ascii="Arial" w:hAnsi="Arial" w:eastAsia="Arial" w:cs="Arial"/>
          <w:color w:val="000000"/>
          <w:sz w:val="20"/>
          <w:szCs w:val="20"/>
        </w:rPr>
        <w:t xml:space="preserve">Als Übergang von Nutzen und Lasten, Gefahr und Zufall
vereinbaren die Vertragsteile den Tag der tatsächlichen Übergabe.
Bis dahin entstandene Lasten haben noch die Verkäufer zu tragen,
danach entstehende Verbindlichkeiten fallen der Käuferin zur
Last.</w:t>
      </w:r>
    </w:p>
    <w:p>
      <w:pPr>
        <w:widowControl w:val="on"/>
        <w:pBdr/>
        <w:spacing w:before="140" w:after="240" w:line="288" w:lineRule="auto"/>
        <w:ind w:left="0" w:right="0"/>
        <w:jc w:val="left"/>
      </w:pPr>
      <w:r>
        <w:rPr>
          <w:rFonts w:ascii="Arial" w:hAnsi="Arial" w:eastAsia="Arial" w:cs="Arial"/>
          <w:color w:val="000000"/>
          <w:sz w:val="20"/>
          <w:szCs w:val="20"/>
        </w:rPr>
        <w:t xml:space="preserve">Für die in Geld bestehende Verrechnung wird der auf die
Vertragsunterfertigung folgende Monatserste als Stichtag
vereinbart.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Ein allfälliges Guthaben bzw ein allfälliger Rückstand der
Verkäufer aus einem Reparatur- bzw Instandhaltungsfonds oder aus
einer Betriebskostenabrechnung steht ohne weitere Verrechnung der
Käuferin zu bzw geht ohne weitere Verrechnung zu ihren Lasten.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Kaufpreis</w:t>
      </w:r>
    </w:p>
    <w:p>
      <w:pPr>
        <w:widowControl w:val="on"/>
        <w:pBdr/>
        <w:spacing w:before="140" w:after="240" w:line="288" w:lineRule="auto"/>
        <w:ind w:left="0" w:right="0"/>
        <w:jc w:val="left"/>
      </w:pPr>
      <w:r>
        <w:rPr>
          <w:rFonts w:ascii="Arial" w:hAnsi="Arial" w:eastAsia="Arial" w:cs="Arial"/>
          <w:color w:val="000000"/>
          <w:sz w:val="20"/>
          <w:szCs w:val="20"/>
        </w:rPr>
        <w:t xml:space="preserve">Der Kaufpreis beträgt EUR 215.000,– (in Worten:
zweihundertfünfzehntausend Euro).</w:t>
      </w:r>
    </w:p>
    <w:p>
      <w:pPr>
        <w:widowControl w:val="on"/>
        <w:pBdr/>
        <w:spacing w:before="140" w:after="240" w:line="288" w:lineRule="auto"/>
        <w:ind w:left="0" w:right="0"/>
        <w:jc w:val="left"/>
      </w:pPr>
      <w:r>
        <w:rPr>
          <w:rFonts w:ascii="Arial" w:hAnsi="Arial" w:eastAsia="Arial" w:cs="Arial"/>
          <w:color w:val="000000"/>
          <w:sz w:val="20"/>
          <w:szCs w:val="20"/>
        </w:rPr>
        <w:t xml:space="preserve">Der Kaufpreis ist von der Käuferin innerhalb von drei Wochen
nach Unterfertigung dieses Vertrages bei sonstigem Rücktrittsrecht
der Verkäufer auf ein vom Vertragserrichter und Treuhänder
Rechtsanwalt Dr. Hans-Peter Musteranwalt unter den Regeln des
elektronischen anwaltlichen Treuhandbuches geführtes Anderkonto bei
der Uni-Credit Bank Austria (IBAN …, BIC …) zu überweisen.</w:t>
      </w:r>
    </w:p>
    <w:p>
      <w:pPr>
        <w:widowControl w:val="on"/>
        <w:pBdr/>
        <w:spacing w:before="140" w:after="240" w:line="288" w:lineRule="auto"/>
        <w:ind w:left="0" w:right="0"/>
        <w:jc w:val="left"/>
      </w:pPr>
      <w:r>
        <w:rPr>
          <w:rFonts w:ascii="Arial" w:hAnsi="Arial" w:eastAsia="Arial" w:cs="Arial"/>
          <w:color w:val="000000"/>
          <w:sz w:val="20"/>
          <w:szCs w:val="20"/>
        </w:rPr>
        <w:t xml:space="preserve">Weiters hat die Käuferin binnen gleicher Frist den für
Grunderwerbsteuer und Eintragungsgebühr erforderlichen Betrag von
EUR 9.890,– (in Worten: Euro neuntausendachthundertneunzig)
auf das vom genannten Vertragserrichter geführte allgemeine
Anderkonto bei der Uni-Credit Bank Austria (IBAN …, BIC …) zu
überweisen.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bestellen nun Rechtsanwalt Dr. Hans-Peter
Musteranwalt, Musterstraße 25, 1010 Wien einseitig nicht
widerrufbar zum gemeinsamen Treuhänder mit dem Auftrag</w:t>
      </w:r>
    </w:p>
    <w:p>
      <w:pPr>
        <w:numPr>
          <w:ilvl w:val="0"/>
          <w:numId w:val="8276386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Erhalt des Beschlusses über die Anmerkung der Rangordnung
für die Veräußerung (sonst unveränderter Grundbuchstand
vorausgesetzt),</w:t>
      </w:r>
    </w:p>
    <w:p>
      <w:pPr>
        <w:numPr>
          <w:ilvl w:val="0"/>
          <w:numId w:val="8276386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Eingang des Kaufpreises und der Nebenkosten auf dem
Treuhandkonto,</w:t>
      </w:r>
    </w:p>
    <w:p>
      <w:pPr>
        <w:widowControl w:val="on"/>
        <w:pBdr/>
        <w:spacing w:before="140" w:after="240" w:line="288" w:lineRule="auto"/>
        <w:ind w:left="0" w:right="0"/>
        <w:jc w:val="left"/>
      </w:pPr>
      <w:r>
        <w:rPr>
          <w:rFonts w:ascii="Arial" w:hAnsi="Arial" w:eastAsia="Arial" w:cs="Arial"/>
          <w:color w:val="000000"/>
          <w:sz w:val="20"/>
          <w:szCs w:val="20"/>
        </w:rPr>
        <w:t xml:space="preserve">zunächst die zur Lastenfreistellung erforderlichen Beträge an
die Pfandgläubiger auszuzahlen und</w:t>
      </w:r>
    </w:p>
    <w:p>
      <w:pPr>
        <w:numPr>
          <w:ilvl w:val="0"/>
          <w:numId w:val="3093190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Einverleibung des lastenfreien Eigentumsrechts der
Käuferin</w:t>
      </w:r>
    </w:p>
    <w:p>
      <w:pPr>
        <w:widowControl w:val="on"/>
        <w:pBdr/>
        <w:spacing w:before="140" w:after="240" w:line="288" w:lineRule="auto"/>
        <w:ind w:left="0" w:right="0"/>
        <w:jc w:val="left"/>
      </w:pPr>
      <w:r>
        <w:rPr>
          <w:rFonts w:ascii="Arial" w:hAnsi="Arial" w:eastAsia="Arial" w:cs="Arial"/>
          <w:color w:val="000000"/>
          <w:sz w:val="20"/>
          <w:szCs w:val="20"/>
        </w:rPr>
        <w:t xml:space="preserve">den Kaufpreis samt bis dahin angereifter Zinsen jedoch abzüglich
Kapitalertragsteuer und Bankspesen auf ein von den Verkäufern
bekanntzugebendes Konto auszuzahlen.</w:t>
      </w:r>
    </w:p>
    <w:p>
      <w:pPr>
        <w:widowControl w:val="on"/>
        <w:pBdr/>
        <w:spacing w:before="140" w:after="240" w:line="288" w:lineRule="auto"/>
        <w:ind w:left="0" w:right="0"/>
        <w:jc w:val="left"/>
      </w:pPr>
      <w:r>
        <w:rPr>
          <w:rFonts w:ascii="Arial" w:hAnsi="Arial" w:eastAsia="Arial" w:cs="Arial"/>
          <w:color w:val="000000"/>
          <w:sz w:val="20"/>
          <w:szCs w:val="20"/>
        </w:rPr>
        <w:t xml:space="preserve">Sollte der Kaufpreis nicht pünktlich auf dem Treuhandkonto
eintreffen, können die Verkäufer unbeschadet allfälliger
Schadenersatzansprüche unter Setzung einer Nachfrist von einer
Woche vom Vertrag durch schriftliche Erklärung an die Käuferin zu
Handen des Treuhänders (und nur in dieser Weise) zurücktreten.</w:t>
      </w:r>
    </w:p>
    <w:p>
      <w:pPr>
        <w:widowControl w:val="on"/>
        <w:pBdr/>
        <w:spacing w:before="140" w:after="240" w:line="288" w:lineRule="auto"/>
        <w:ind w:left="0" w:right="0"/>
        <w:jc w:val="left"/>
      </w:pPr>
      <w:r>
        <w:rPr>
          <w:rFonts w:ascii="Arial" w:hAnsi="Arial" w:eastAsia="Arial" w:cs="Arial"/>
          <w:color w:val="000000"/>
          <w:sz w:val="20"/>
          <w:szCs w:val="20"/>
        </w:rPr>
        <w:t xml:space="preserve">Der Vertragserrichter hat diesen Kaufvertrag gem § 10
GrEStG beim Finanzamt für Gebühren, Verkehrssteuern und Glückspiel
anzuzeigen oder eine Selbstberechnung der Grunderwerbsteuer und
Eintragungsgebühr gem § 12 GrEStG vorzunehmen sowie die
genannten Abgaben aus dem Treuhanderlag an das zuständige Finanzamt
abzuführen. Der Vertragserrichter wird von den Vertragsparteien
dazu ausdrücklich bevollmächtigt und beauftragt.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und die Käuferin nehmen zur Kenntnis, dass durch
diesen Vertrag lediglich der vertragskonforme Liegenschaftserwerb
der Käuferin und die vertragskonforme Verwendung des Kaufpreises
abgesichert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Gewährleistung</w:t>
      </w:r>
    </w:p>
    <w:p>
      <w:pPr>
        <w:widowControl w:val="on"/>
        <w:pBdr/>
        <w:spacing w:before="140" w:after="240" w:line="288" w:lineRule="auto"/>
        <w:ind w:left="0" w:right="0"/>
        <w:jc w:val="left"/>
      </w:pPr>
      <w:r>
        <w:rPr>
          <w:rFonts w:ascii="Arial" w:hAnsi="Arial" w:eastAsia="Arial" w:cs="Arial"/>
          <w:color w:val="000000"/>
          <w:sz w:val="20"/>
          <w:szCs w:val="20"/>
        </w:rPr>
        <w:t xml:space="preserve">Die Käuferin hat den Vertragsgegenstand eingehend besichtigt und
ist über dessen Zustand in Kenntnis.</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übernehmen keine Gewähr für einen bestimmten
Zustand oder eine bestimmte Beschaffenheit und Verwendungsfähigkeit
des Vertragsgegenstandes, wohl aber dafür, dass dieser völlig
bestandfrei und frei von sonstigen bücherlichen oder
außerbücherlichen Lasten wie auch Dienstbarkeiten, Reallasten und
dergleichen ist, sowie dass der Vertragsgegenstand sein
unbelastetes Eigentum ist und lastenfrei in das Eigentum der
Käuferin übergehen kann.</w:t>
      </w:r>
    </w:p>
    <w:p>
      <w:pPr>
        <w:widowControl w:val="on"/>
        <w:pBdr/>
        <w:spacing w:before="140" w:after="240" w:line="288" w:lineRule="auto"/>
        <w:ind w:left="0" w:right="0"/>
        <w:jc w:val="left"/>
      </w:pPr>
      <w:r>
        <w:rPr>
          <w:rFonts w:ascii="Arial" w:hAnsi="Arial" w:eastAsia="Arial" w:cs="Arial"/>
          <w:color w:val="000000"/>
          <w:sz w:val="20"/>
          <w:szCs w:val="20"/>
        </w:rPr>
        <w:t xml:space="preserve">Hinsichtlich der mitverkauften Einrichtung erklären die
Verkäufer, dass zum Zeitpunkt der Übergabe alle Geräte
funktionstüchtig sind.</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erklären, dass sich die technischen Einrichtungen
und Leitungen in brauchbarem Zustand befinden. Weiters wird
zugesichert, dass keine Bauaufträge bestehen und das Objekt nicht
unter Denkmalschutz steht.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übernehmen ferner die Haftung dafür, dass im
Zusammenhang mit dem Vertragsgegenstand keine offenen
Versicherungsprämien, Betriebskosten, Steuern oder sonstige
Abgaben, welcher Art auch immer, bestehen.</w:t>
      </w:r>
    </w:p>
    <w:p>
      <w:pPr>
        <w:widowControl w:val="on"/>
        <w:pBdr/>
        <w:spacing w:before="140" w:after="240" w:line="288" w:lineRule="auto"/>
        <w:ind w:left="0" w:right="0"/>
        <w:jc w:val="left"/>
      </w:pPr>
      <w:r>
        <w:rPr>
          <w:rFonts w:ascii="Arial" w:hAnsi="Arial" w:eastAsia="Arial" w:cs="Arial"/>
          <w:color w:val="000000"/>
          <w:sz w:val="20"/>
          <w:szCs w:val="20"/>
        </w:rPr>
        <w:t xml:space="preserve">Die Parteien halten fest, dass wesentliche Voraussetzung für den
Kaufvertrag die Bestandsfreiheit ist. Die Verkäufer garantieren
nun, dass keine aufrechten Bestandverhältnisse oder sonstigen
Nutzungsrechte Dritter an der Liegenschaft bestehen. Sollte nach
Vertragsabschluss derartige Rechte von Dritten behauptet werden, so
steht dem Käufer das Recht zu, vom Vertrag zurückzutreten.</w:t>
      </w:r>
    </w:p>
    <w:p>
      <w:pPr>
        <w:widowControl w:val="on"/>
        <w:pBdr/>
        <w:spacing w:before="140" w:after="240" w:line="288" w:lineRule="auto"/>
        <w:ind w:left="0" w:right="0"/>
        <w:jc w:val="left"/>
      </w:pPr>
      <w:r>
        <w:rPr>
          <w:rFonts w:ascii="Arial" w:hAnsi="Arial" w:eastAsia="Arial" w:cs="Arial"/>
          <w:color w:val="000000"/>
          <w:sz w:val="20"/>
          <w:szCs w:val="20"/>
        </w:rPr>
        <w:t xml:space="preserve">In sämtlichen Fällen einer der oben genannten Haftungen sind die
Verkäufer verpflichtet, hervorkommende Verbindlichkeiten aus
eigenem zu tilgen und der Käuferin diesbezüglich vollkommen schad-
und klaglos zu 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Vertragsverfasser/Vollmacht</w:t>
      </w:r>
    </w:p>
    <w:p>
      <w:pPr>
        <w:widowControl w:val="on"/>
        <w:pBdr/>
        <w:spacing w:before="140" w:after="240" w:line="288" w:lineRule="auto"/>
        <w:ind w:left="0" w:right="0"/>
        <w:jc w:val="left"/>
      </w:pPr>
      <w:r>
        <w:rPr>
          <w:rFonts w:ascii="Arial" w:hAnsi="Arial" w:eastAsia="Arial" w:cs="Arial"/>
          <w:color w:val="000000"/>
          <w:sz w:val="20"/>
          <w:szCs w:val="20"/>
        </w:rPr>
        <w:t xml:space="preserve">Sämtliche Vertragsteile beauftragen und bevollmächtigen den
Verfasser dieses Vertrages, Rechtsanwalt Dr. Hans-Peter
Musteranwalt, 1010 Wien, Musterstraße 25, mit der
grundbücherlichen, grundverkehrs- und finanzbehördlichen
Durchführung des gegenständlichen Vertrages und ermächtigen und
bevollmächtigen ihn, sämtliche hierzu erforderlichen Anträge zu
stellen und Erklärungen im Namen beider Vertragsparteien abzugeben
sowie allenfalls hierfür erforderliche Nachträge, Berichtigungen
oder Ergänzungen zum Vertrag im Namen sämtlicher Vertragsparteien
zu fertigen und zu diesem Zweck auch selbst zu kontrahieren, soweit
dies dem wirtschaftlichen Zweck des gegenständlichen Vertrages
nicht widerspricht.</w:t>
      </w:r>
    </w:p>
    <w:p>
      <w:pPr>
        <w:widowControl w:val="on"/>
        <w:pBdr/>
        <w:spacing w:before="140" w:after="240" w:line="288" w:lineRule="auto"/>
        <w:ind w:left="0" w:right="0"/>
        <w:jc w:val="left"/>
      </w:pPr>
      <w:r>
        <w:rPr>
          <w:rFonts w:ascii="Arial" w:hAnsi="Arial" w:eastAsia="Arial" w:cs="Arial"/>
          <w:color w:val="000000"/>
          <w:sz w:val="20"/>
          <w:szCs w:val="20"/>
        </w:rPr>
        <w:t xml:space="preserve">Weiters erteilen die Vertragsparteien oben genanntem
Rechtsanwalt überhaupt die Vollmacht, sie im Zusammenhang mit der
Abwicklung dieses Vertrages gegenüber Gerichten und Behörden sowie
Kreditinstitute zu vertreten und entbinden Letztere vom
Bankgeheimnis.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Abgaben, Gebühren, Kosten</w:t>
      </w:r>
    </w:p>
    <w:p>
      <w:pPr>
        <w:widowControl w:val="on"/>
        <w:pBdr/>
        <w:spacing w:before="140" w:after="240" w:line="288" w:lineRule="auto"/>
        <w:ind w:left="0" w:right="0"/>
        <w:jc w:val="left"/>
      </w:pPr>
      <w:r>
        <w:rPr>
          <w:rFonts w:ascii="Arial" w:hAnsi="Arial" w:eastAsia="Arial" w:cs="Arial"/>
          <w:color w:val="000000"/>
          <w:sz w:val="20"/>
          <w:szCs w:val="20"/>
        </w:rPr>
        <w:t xml:space="preserve">Sämtliche mit der Errichtung und Durchführung dieses Vertrages
verbundenen Gebühren (Gerichtsgebühren, Legalisierungsgebühren,
etc) sowie die Grunderwerbsteuer und Eintragungsgebühr trägt die
Käuferin.</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Errichtung dieses Kaufvertrages, der Abwicklung
der Treuhandschaft und der grundbücherlichen Durchführung trägt die
Käuferin.</w:t>
      </w:r>
    </w:p>
    <w:p>
      <w:pPr>
        <w:widowControl w:val="on"/>
        <w:pBdr/>
        <w:spacing w:before="140" w:after="240" w:line="288" w:lineRule="auto"/>
        <w:ind w:left="0" w:right="0"/>
        <w:jc w:val="left"/>
      </w:pPr>
      <w:r>
        <w:rPr>
          <w:rFonts w:ascii="Arial" w:hAnsi="Arial" w:eastAsia="Arial" w:cs="Arial"/>
          <w:color w:val="000000"/>
          <w:sz w:val="20"/>
          <w:szCs w:val="20"/>
        </w:rPr>
        <w:t xml:space="preserve">Die Kosten im Zusammenhang mit einer allfälligen
Selbstberechnung der Immobilienertragssteuer gem § 30b
Abs 1 EStG1988 tragen die Verkäufer.</w:t>
      </w:r>
    </w:p>
    <w:p>
      <w:pPr>
        <w:widowControl w:val="on"/>
        <w:pBdr/>
        <w:spacing w:before="140" w:after="240" w:line="288" w:lineRule="auto"/>
        <w:ind w:left="0" w:right="0"/>
        <w:jc w:val="left"/>
      </w:pPr>
      <w:r>
        <w:rPr>
          <w:rFonts w:ascii="Arial" w:hAnsi="Arial" w:eastAsia="Arial" w:cs="Arial"/>
          <w:color w:val="000000"/>
          <w:sz w:val="20"/>
          <w:szCs w:val="20"/>
        </w:rPr>
        <w:t xml:space="preserve">Sämtliche mit der Einholung der
ausländergrundverkehrsbehördlichen Genehmigung verbundenen Kosten
und Gebühren trägt die Käuferin.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Aufsandungserklärung</w:t>
      </w:r>
    </w:p>
    <w:p>
      <w:pPr>
        <w:widowControl w:val="on"/>
        <w:pBdr/>
        <w:spacing w:before="140" w:after="240" w:line="288" w:lineRule="auto"/>
        <w:ind w:left="0" w:right="0"/>
        <w:jc w:val="left"/>
      </w:pPr>
      <w:r>
        <w:rPr>
          <w:rFonts w:ascii="Arial" w:hAnsi="Arial" w:eastAsia="Arial" w:cs="Arial"/>
          <w:color w:val="000000"/>
          <w:sz w:val="20"/>
          <w:szCs w:val="20"/>
        </w:rPr>
        <w:t xml:space="preserve">Sohin erteilen Hans Müller, geb 01.09.1941 und Petra Müller, geb
21.08.1973 ihre Einwilligung, dass aufgrund dieses Vertrages ob
nachstehender Liegenschaft:</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 64157 Waltersdorf</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124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BEZIRKSGERICHT Hartberg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Besondere Abschrift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Abfragedatum 2019-27-10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4567/2010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Wohnungseigentum</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Salierigasse 34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47</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Wallrißstraße 9</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362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Hans</w:t>
            </w:r>
            <w:r>
              <w:rPr>
                <w:rFonts w:ascii="Arial" w:hAnsi="Arial" w:eastAsia="Arial" w:cs="Arial"/>
                <w:color w:val="000000"/>
                <w:position w:val="0"/>
                <w:sz w:val="20"/>
                <w:szCs w:val="20"/>
                <w:shd w:val="clear" w:color="auto" w:fill="FFFFFF"/>
              </w:rPr>
              <w:br/>
              <w:t xml:space="preserve">Geb: 1941-09-01 Adr: Wallseerstr. 13 3100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Petra</w:t>
            </w:r>
            <w:r>
              <w:rPr>
                <w:rFonts w:ascii="Arial" w:hAnsi="Arial" w:eastAsia="Arial" w:cs="Arial"/>
                <w:color w:val="000000"/>
                <w:position w:val="0"/>
                <w:sz w:val="20"/>
                <w:szCs w:val="20"/>
                <w:shd w:val="clear" w:color="auto" w:fill="FFFFFF"/>
              </w:rPr>
              <w:br/>
              <w:t xml:space="preserve">Geb: 1973-08-21 Adr: Wallseerstr. 13 3100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das Eigentumsrecht für</w:t>
      </w:r>
    </w:p>
    <w:p>
      <w:pPr>
        <w:numPr>
          <w:ilvl w:val="0"/>
          <w:numId w:val="1958605"/>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Anastasia Irina Kolokov, geb 02.05.1970</w:t>
      </w:r>
      <w:r>
        <w:rPr>
          <w:rFonts w:ascii="Arial" w:hAnsi="Arial" w:eastAsia="Arial" w:cs="Arial"/>
          <w:color w:val="000000"/>
          <w:sz w:val="20"/>
          <w:szCs w:val="20"/>
        </w:rPr>
        <w:br/>
        <w:t xml:space="preserve">2100 Korneuburg, Hauptplatz 37/20</w:t>
      </w:r>
    </w:p>
    <w:p>
      <w:pPr>
        <w:widowControl w:val="on"/>
        <w:pBdr/>
        <w:spacing w:before="140" w:after="240" w:line="288" w:lineRule="auto"/>
        <w:ind w:left="0" w:right="0"/>
        <w:jc w:val="left"/>
      </w:pPr>
      <w:r>
        <w:rPr>
          <w:rFonts w:ascii="Arial" w:hAnsi="Arial" w:eastAsia="Arial" w:cs="Arial"/>
          <w:color w:val="000000"/>
          <w:sz w:val="20"/>
          <w:szCs w:val="20"/>
        </w:rPr>
        <w:t xml:space="preserve">einverleibt werden könne und möge.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Übergang von </w:t>
      </w:r>
      <w:r>
        <w:rPr>
          <w:rFonts w:ascii="Arial" w:hAnsi="Arial" w:eastAsia="Arial" w:cs="Arial"/>
          <w:b/>
          <w:bCs/>
          <w:color w:val="363A40"/>
          <w:sz w:val="28"/>
          <w:szCs w:val="28"/>
        </w:rPr>
        <w:t xml:space="preserve">Versicherungen</w:t>
      </w:r>
      <w:bookmarkStart w:id="33407397" w:name="link1"/>
      <w:bookmarkEnd w:id="33407397"/>
      <w:hyperlink w:anchor="note1" w:history="1">
        <w:r>
          <w:rPr>
            <w:rFonts w:ascii="Arial" w:hAnsi="Arial" w:eastAsia="Arial" w:cs="Arial"/>
            <w:b/>
            <w:bCs/>
            <w:color w:val="006BB6"/>
            <w:position w:val="6"/>
            <w:sz w:val="31"/>
            <w:szCs w:val="31"/>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Käuferin wurde darüber aufgeklärt, dass eine allenfalls für
die veräußerte Liegenschaft abgeschlossene Versicherung gem
§ 69 VersVG auf sie übergeht sowie dass sie eine derartige
Versicherung gem § 70 Abs 1 VersVG innerhalb eines Monats
ab Einverleibung ihres Eigentums im Grundbuch kündigen kann.</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sind verpflichtet, der Käuferin sämtliche für das
Vertragsobjekt bestehenden Versicherungen unter Angabe der
Versicherungsgesellschaft und der Polizzennummer bekannt zu
geben.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Energieausweis</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legen einen Energieausweis im Sinne des
Energieausweis-Vorlage-Gesetzes 2012 vor, der diesem Vertrag als
Beilage ./A (ohne Anhang) angeschlossen wird. Die Käuferin
bestätigt, den Energieausweis einschließlich Anhang erhalten zu
haben.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Wohnungseigentum</w:t>
      </w:r>
    </w:p>
    <w:p>
      <w:pPr>
        <w:widowControl w:val="on"/>
        <w:pBdr/>
        <w:spacing w:before="140" w:after="240" w:line="288" w:lineRule="auto"/>
        <w:ind w:left="0" w:right="0"/>
        <w:jc w:val="left"/>
      </w:pPr>
      <w:r>
        <w:rPr>
          <w:rFonts w:ascii="Arial" w:hAnsi="Arial" w:eastAsia="Arial" w:cs="Arial"/>
          <w:color w:val="000000"/>
          <w:sz w:val="20"/>
          <w:szCs w:val="20"/>
        </w:rPr>
        <w:t xml:space="preserve">Der Käuferin ist der Inhalt des Wohnungseigentumsvertrages
bekannt. Sie erklärt, in sämtliche Rechte und Verbindlichkeiten,
die sich aus dem Verhältnis der Wohnungseigentümer zueinander
ergeben, vollinhaltlich einzutreten.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 Inländereigenschaft</w:t>
      </w:r>
    </w:p>
    <w:p>
      <w:pPr>
        <w:widowControl w:val="on"/>
        <w:pBdr/>
        <w:spacing w:before="140" w:after="240" w:line="288" w:lineRule="auto"/>
        <w:ind w:left="0" w:right="0"/>
        <w:jc w:val="left"/>
      </w:pPr>
      <w:r>
        <w:rPr>
          <w:rFonts w:ascii="Arial" w:hAnsi="Arial" w:eastAsia="Arial" w:cs="Arial"/>
          <w:color w:val="000000"/>
          <w:sz w:val="20"/>
          <w:szCs w:val="20"/>
        </w:rPr>
        <w:t xml:space="preserve">Die Käuferin erklärt an Eides statt russische Staatsbürgerin und
Deviseninländerin zu sein. Die Verkäufer erklären an Eides statt
österreichische Staatsbürger zu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 Aufschiebende Bedingung</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bedarf einer Genehmigung nach dem
Steiermärkischen Grundverkehrsgesetz. Die Rechtswirksamkeit dieses
Kaufvertrages ist durch das Vorliegen der rechtskräftigen
ausländergrundverkehrsbehördlichen Genehmigung der
Grundverkehrsbehörde aufschiebend bedingt.</w:t>
      </w:r>
    </w:p>
    <w:p>
      <w:pPr>
        <w:widowControl w:val="on"/>
        <w:pBdr/>
        <w:spacing w:before="140" w:after="240" w:line="288" w:lineRule="auto"/>
        <w:ind w:left="0" w:right="0"/>
        <w:jc w:val="left"/>
      </w:pPr>
      <w:r>
        <w:rPr>
          <w:rFonts w:ascii="Arial" w:hAnsi="Arial" w:eastAsia="Arial" w:cs="Arial"/>
          <w:color w:val="000000"/>
          <w:sz w:val="20"/>
          <w:szCs w:val="20"/>
        </w:rPr>
        <w:t xml:space="preserve">Der Vertrag wird unter der aufschiebenden Bedingung geschlossen,
dass der Rechtserwerb durch die Käuferin durch die nach dem
Steiermärkischen Grundverkehrsgesetz zuständige Behörde
(Grundverkehrsbehörde) rechtskräftig genehmigt wird.</w:t>
      </w:r>
    </w:p>
    <w:p>
      <w:pPr>
        <w:widowControl w:val="on"/>
        <w:pBdr/>
        <w:spacing w:before="140" w:after="240" w:line="288" w:lineRule="auto"/>
        <w:ind w:left="0" w:right="0"/>
        <w:jc w:val="left"/>
      </w:pPr>
      <w:r>
        <w:rPr>
          <w:rFonts w:ascii="Arial" w:hAnsi="Arial" w:eastAsia="Arial" w:cs="Arial"/>
          <w:color w:val="000000"/>
          <w:sz w:val="20"/>
          <w:szCs w:val="20"/>
        </w:rPr>
        <w:t xml:space="preserve">Die Einholung der Zustimmung der zuständigen
Grundverkehrsbehörde obliegt der Käuferin. Die Verkäufer werden
jedoch die Käuferin dabei bestmöglich unterstützen und allfällig
erforderliche Erklärungen abgeben und Unterschriften über erste
Aufforderung leisten.</w:t>
      </w:r>
    </w:p>
    <w:p>
      <w:pPr>
        <w:widowControl w:val="on"/>
        <w:pBdr/>
        <w:spacing w:before="140" w:after="240" w:line="288" w:lineRule="auto"/>
        <w:ind w:left="0" w:right="0"/>
        <w:jc w:val="left"/>
      </w:pPr>
      <w:r>
        <w:rPr>
          <w:rFonts w:ascii="Arial" w:hAnsi="Arial" w:eastAsia="Arial" w:cs="Arial"/>
          <w:color w:val="000000"/>
          <w:sz w:val="20"/>
          <w:szCs w:val="20"/>
        </w:rPr>
        <w:t xml:space="preserve">Sollte die Genehmigung in erster Instanz versagt werden, so ist
die Käuferin berechtigt, nicht jedoch verpflichtet, ein
Rechtsmittel zu erheben. Wird die Versagung der Genehmigung
rechtskräftig, so ist der Vertrag endgültig unwirksam.</w:t>
      </w:r>
    </w:p>
    <w:p>
      <w:pPr>
        <w:widowControl w:val="on"/>
        <w:pBdr/>
        <w:spacing w:before="140" w:after="240" w:line="288" w:lineRule="auto"/>
        <w:ind w:left="0" w:right="0"/>
        <w:jc w:val="left"/>
      </w:pPr>
      <w:r>
        <w:rPr>
          <w:rFonts w:ascii="Arial" w:hAnsi="Arial" w:eastAsia="Arial" w:cs="Arial"/>
          <w:color w:val="000000"/>
          <w:sz w:val="20"/>
          <w:szCs w:val="20"/>
        </w:rPr>
        <w:t xml:space="preserve">Wird die Genehmigung auch in zweiter Instanz versagt, so ist die
Käuferin zwar zur Erhebung einer Beschwerde an die Gerichtshöfe des
öffentlichen Rechts berechtigt, die Verkäufer haben in diesem Fall
jedoch das Recht, durch gemeinsame einschreibbriefliche Erklärung
an die Käuferin bis zum Vorliegen einer Entscheidung über die
Beschwerde von diesem Vertrag zurückzutreten.</w:t>
      </w:r>
    </w:p>
    <w:p>
      <w:pPr>
        <w:widowControl w:val="on"/>
        <w:pBdr/>
        <w:spacing w:before="140" w:after="240" w:line="288" w:lineRule="auto"/>
        <w:ind w:left="0" w:right="0"/>
        <w:jc w:val="left"/>
      </w:pPr>
      <w:r>
        <w:rPr>
          <w:rFonts w:ascii="Arial" w:hAnsi="Arial" w:eastAsia="Arial" w:cs="Arial"/>
          <w:color w:val="000000"/>
          <w:sz w:val="20"/>
          <w:szCs w:val="20"/>
        </w:rPr>
        <w:t xml:space="preserve">Bis zur rechtskräftigen Genehmigung durch die
Grundverkehrsbehörde darf der vorliegende Kaufvertrag von den
Vertragsparteien nicht umgesetzt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 Immobilienertragsteuer</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nehmen zur Kenntnis, dass der gegenständliche
Rechtsvorgang den Regeln über die Immobilienertragsteuer
unterliegt.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wurden vom Vertragserrichter über §§ 30 ff
EStG, insbesondere über die Verpflichtung zur Entrichtung der
Immobilienertragssteuer, belehrt.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erklären hiermit an Eides statt, dass der
Vertragsgegenstand innerhalb der letzten zehn Jahre vor der
Veräußerung mindestens fünf Jahre durchgehend als Hauptwohnsitz
gedient hat und sie erklären gleichzeitig, den Hauptwohnsitz mit
der Unterfertigung dieses Vertrages aufzugeben. Die Einkünfte aus
dem Veräußerungsgeschäft sind daher gem § 30 Abs 2
Z 1 lit b EStG steuerbefreit.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verpflichten sich dem Vertragserrichter das für
sie zuständige Finanzamt sowie eine allenfalls vorhandene
Steuernummer umgehend bekanntzugeben.</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beauftragen den Vertragserrichter, die
entsprechende Meldung beim zuständigen Finanzamt vorzunehmen.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 Gerichtsstand</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vereinbaren die Zuständigkeit des sachlich für
… zuständigen Gerichtes für alle Streitigkeiten aus diesem
Vertrag.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XVII. Ausfertigungen</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einer Ausfertigung errichtet, welche bis
zur Verbücherung beim Vertragsverfasser verbleibt und dann der
Käuferin gebührt.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erhalten eine unbeglaubigte Abschrift.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Hans Müller, geb 01.09.1941</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Petra Müller, geb 21.08.1973</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Anastasia Irina Kolokov, geb 02.05.1970</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8537125" w:name="note1"/>
            <w:bookmarkEnd w:id="78537125"/>
            <w:bookmarkStart w:id="5048107752562" w:name="note1"/>
            <w:r>
              <w:rPr>
                <w:rFonts w:ascii="Arial" w:hAnsi="Arial" w:eastAsia="Arial" w:cs="Arial"/>
                <w:b/>
                <w:bCs/>
                <w:color w:val="000000"/>
                <w:position w:val="0"/>
                <w:sz w:val="20"/>
                <w:szCs w:val="20"/>
              </w:rPr>
              <w:t xml:space="preserve">[1]</w:t>
            </w:r>
            <w:bookmarkEnd w:id="504810775256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Übergang von Versicherungen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Bestimmungen der §§ 69, 70 VersVG räumen sowohl dem
Erwerber als auch dem Versicherer ein Kündigungsrecht ein, weil dem
Versicherer der ihm aufgezwungene Versicherungsnehmer bedenklich
erscheinen kann, während der Erwerber der versicherten Sache einen
anderen Versicherer vorziehen will oder möglicherweise keinen
Versicherungsschutz mehr wünscht.</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3466415" w:name="note2"/>
            <w:bookmarkEnd w:id="23466415"/>
            <w:bookmarkStart w:id="8411180695343" w:name="note2"/>
            <w:r>
              <w:rPr>
                <w:rFonts w:ascii="Arial" w:hAnsi="Arial" w:eastAsia="Arial" w:cs="Arial"/>
                <w:b/>
                <w:bCs/>
                <w:color w:val="000000"/>
                <w:position w:val="0"/>
                <w:sz w:val="20"/>
                <w:szCs w:val="20"/>
              </w:rPr>
              <w:t xml:space="preserve">[2]</w:t>
            </w:r>
            <w:bookmarkEnd w:id="841118069534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Grundverkehrsbehördliche Genehmigung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 22 Abs 2 Stmk. GVG sind Staatsangehörige der
EU- und EWR-Staaten ausdrücklich keine Ausländer und sind somit
österreichischen Staatsbürgern gleichgestellt. Dasselbe gilt für
Gesellschaften iSd Art 54 AEUV bzw Art 34 EWR-Abkommen.
Für Käufer aus Drittstaaten gilt Folgendes: Die in den §§ 5
und 16 Stmk. GVG genannten Rechtsgeschäfte – wie hier: im
gegenständlichen Mustervertrag – sind grundsätzlich
genehmigungspflichtig (§ 25 Stmk. GVG). Die zuständige Behörde
erteilt die Genehmigung, wenn keine staatspolitischen Interessen
entgegenstehen und ein kulturelles, soziales oder
volkswirtschaftliches Interesse am Erwerb besteht (§ 26 Stmk.
GVG). Solange die erforderliche Genehmigung fehlt, ist die
Eintragung im Grundbuch schwebend unwirksam (§ 31 Stmk. GVG).
Das Grundbuchsgericht trägt das Eigentum im Grundbuch erst ein,
wenn der grundverkehrsrechtliche Nachweis erbracht ist. Bei
Versagung der Genehmigung wird die Anmerkung gelöscht und das
Rechtsgeschäft rückabgewickelt (§ 32 Stmk. GVG). Zuständige
Grundverkehrsbehörde ist gem § 45 Abs 1 Stmk. GVG die
Bezirksverwaltungsbehörde.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545520" w:name="note3"/>
            <w:bookmarkEnd w:id="99545520"/>
            <w:bookmarkStart w:id="3692625212085" w:name="note3"/>
            <w:r>
              <w:rPr>
                <w:rFonts w:ascii="Arial" w:hAnsi="Arial" w:eastAsia="Arial" w:cs="Arial"/>
                <w:b/>
                <w:bCs/>
                <w:color w:val="000000"/>
                <w:position w:val="0"/>
                <w:sz w:val="20"/>
                <w:szCs w:val="20"/>
              </w:rPr>
              <w:t xml:space="preserve">[3]</w:t>
            </w:r>
            <w:bookmarkEnd w:id="369262521208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Betriebskostentragung bei Eigentümerwechsel</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32 Abs 1 WEG sind die Aufwendungen für die
Liegenschaft einschließlich der Beiträge der Rücklage von den
Wohnungseigentümern nach dem Verhältnis ihrer Miteigentumsanteile
bei Ende der Abrechnungsperiode zu tragen. Dies bedeutet, dass für
die bis zur Verbücherung des jeweiligen Eigentumsrechts gelten
gemachten Betriebs- und Heizkosten der bisherige Eigentümer, nach
der Verbücherung der neue Eigentümer zahlungspflichtig ist. Findet
ein Eigentümerwechsel statt, ist der Zeitpunkt der Einverleibung im
Grundbuch maßgebend. Dies gilt unabhängig vom Zeitpunkt der
Veräußerung und dem zwischen Veräußerer und Erwerber
(gegebenenfalls) festgelegten Stichtag. Dies betrifft allerdings
nur die Haftung nach außen und nicht die interne
Kostentragungspflicht, da meist andere vertragliche Vereinbarungen
erfolgen. Vorschreibungen richten sich somit an den aktuellen
Eigentümer laut Grundbuch. Der betroffene Wohnungseigentümer wird
sich üblicherweise bei seinem Rechtsvorgänger regressieren
können.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860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931903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763867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6254896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3794634">
    <w:multiLevelType w:val="hybridMultilevel"/>
    <w:lvl w:ilvl="0" w:tplc="18820316">
      <w:start w:val="1"/>
      <w:numFmt w:val="decimal"/>
      <w:lvlText w:val="%1."/>
      <w:lvlJc w:val="left"/>
      <w:pPr>
        <w:ind w:left="720" w:hanging="360"/>
      </w:pPr>
    </w:lvl>
    <w:lvl w:ilvl="1" w:tplc="18820316" w:tentative="1">
      <w:start w:val="1"/>
      <w:numFmt w:val="lowerLetter"/>
      <w:lvlText w:val="%2."/>
      <w:lvlJc w:val="left"/>
      <w:pPr>
        <w:ind w:left="1440" w:hanging="360"/>
      </w:pPr>
    </w:lvl>
    <w:lvl w:ilvl="2" w:tplc="18820316" w:tentative="1">
      <w:start w:val="1"/>
      <w:numFmt w:val="lowerRoman"/>
      <w:lvlText w:val="%3."/>
      <w:lvlJc w:val="right"/>
      <w:pPr>
        <w:ind w:left="2160" w:hanging="180"/>
      </w:pPr>
    </w:lvl>
    <w:lvl w:ilvl="3" w:tplc="18820316" w:tentative="1">
      <w:start w:val="1"/>
      <w:numFmt w:val="decimal"/>
      <w:lvlText w:val="%4."/>
      <w:lvlJc w:val="left"/>
      <w:pPr>
        <w:ind w:left="2880" w:hanging="360"/>
      </w:pPr>
    </w:lvl>
    <w:lvl w:ilvl="4" w:tplc="18820316" w:tentative="1">
      <w:start w:val="1"/>
      <w:numFmt w:val="lowerLetter"/>
      <w:lvlText w:val="%5."/>
      <w:lvlJc w:val="left"/>
      <w:pPr>
        <w:ind w:left="3600" w:hanging="360"/>
      </w:pPr>
    </w:lvl>
    <w:lvl w:ilvl="5" w:tplc="18820316" w:tentative="1">
      <w:start w:val="1"/>
      <w:numFmt w:val="lowerRoman"/>
      <w:lvlText w:val="%6."/>
      <w:lvlJc w:val="right"/>
      <w:pPr>
        <w:ind w:left="4320" w:hanging="180"/>
      </w:pPr>
    </w:lvl>
    <w:lvl w:ilvl="6" w:tplc="18820316" w:tentative="1">
      <w:start w:val="1"/>
      <w:numFmt w:val="decimal"/>
      <w:lvlText w:val="%7."/>
      <w:lvlJc w:val="left"/>
      <w:pPr>
        <w:ind w:left="5040" w:hanging="360"/>
      </w:pPr>
    </w:lvl>
    <w:lvl w:ilvl="7" w:tplc="18820316" w:tentative="1">
      <w:start w:val="1"/>
      <w:numFmt w:val="lowerLetter"/>
      <w:lvlText w:val="%8."/>
      <w:lvlJc w:val="left"/>
      <w:pPr>
        <w:ind w:left="5760" w:hanging="360"/>
      </w:pPr>
    </w:lvl>
    <w:lvl w:ilvl="8" w:tplc="18820316" w:tentative="1">
      <w:start w:val="1"/>
      <w:numFmt w:val="lowerRoman"/>
      <w:lvlText w:val="%9."/>
      <w:lvlJc w:val="right"/>
      <w:pPr>
        <w:ind w:left="6480" w:hanging="180"/>
      </w:pPr>
    </w:lvl>
  </w:abstractNum>
  <w:abstractNum w:abstractNumId="53794633">
    <w:multiLevelType w:val="hybridMultilevel"/>
    <w:lvl w:ilvl="0" w:tplc="62044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94633">
    <w:abstractNumId w:val="53794633"/>
  </w:num>
  <w:num w:numId="53794634">
    <w:abstractNumId w:val="53794634"/>
  </w:num>
  <w:num w:numId="562548968">
    <w:abstractNumId w:val="562548968"/>
  </w:num>
  <w:num w:numId="827638676">
    <w:abstractNumId w:val="827638676"/>
  </w:num>
  <w:num w:numId="309319038">
    <w:abstractNumId w:val="309319038"/>
  </w:num>
  <w:num w:numId="1958605">
    <w:abstractNumId w:val="19586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53134202" Type="http://schemas.openxmlformats.org/officeDocument/2006/relationships/numbering" Target="numbering.xml"/><Relationship Id="rId18145678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