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89996081" w:name="document"/>
    <w:bookmarkEnd w:id="89996081"/>
    <w:p/>
    <w:p>
      <w:pPr>
        <w:widowControl w:val="on"/>
        <w:pBdr/>
        <w:spacing w:before="0" w:after="280" w:line="240" w:lineRule="auto"/>
        <w:ind w:left="0" w:right="0"/>
        <w:jc w:val="left"/>
      </w:pPr>
      <w:r>
        <w:rPr>
          <w:rFonts w:ascii="Arial" w:hAnsi="Arial" w:eastAsia="Arial" w:cs="Arial"/>
          <w:color w:val="363A40"/>
          <w:sz w:val="24"/>
          <w:szCs w:val="24"/>
        </w:rPr>
        <w:t xml:space="preserve">Dokument-ID: 585671 | Claudia Sorgo - Astrid
Maitz - Albert Scherzer | Muster | Checkliste</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Checkliste für Schenkungsverträge</w:t>
      </w:r>
    </w:p>
    <w:p>
      <w:pPr>
        <w:widowControl w:val="on"/>
        <w:pBdr/>
        <w:spacing w:before="140" w:after="240" w:line="288" w:lineRule="auto"/>
        <w:ind w:left="0" w:right="0"/>
        <w:jc w:val="left"/>
      </w:pPr>
      <w:r>
        <w:rPr>
          <w:rFonts w:ascii="Arial" w:hAnsi="Arial" w:eastAsia="Arial" w:cs="Arial"/>
          <w:color w:val="000000"/>
          <w:sz w:val="20"/>
          <w:szCs w:val="20"/>
        </w:rPr>
        <w:t xml:space="preserve">(Was man bei einem Schenkungsvertragzumindest beachten soll)</w:t>
      </w:r>
    </w:p>
    <w:p>
      <w:pPr>
        <w:widowControl w:val="on"/>
        <w:pBdr/>
        <w:spacing w:before="240" w:after="60" w:line="346" w:lineRule="auto"/>
        <w:ind w:left="0" w:right="0"/>
        <w:jc w:val="left"/>
        <w:outlineLvl w:val="1"/>
      </w:pPr>
      <w:r>
        <w:rPr>
          <w:rFonts w:ascii="Arial" w:hAnsi="Arial" w:eastAsia="Arial" w:cs="Arial"/>
          <w:b/>
          <w:bCs/>
          <w:color w:val="363A40"/>
          <w:sz w:val="28"/>
          <w:szCs w:val="28"/>
        </w:rPr>
        <w:t xml:space="preserve">§ 1 Präambel</w:t>
      </w:r>
    </w:p>
    <w:p>
      <w:pPr>
        <w:numPr>
          <w:ilvl w:val="0"/>
          <w:numId w:val="53377714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Geschenkgeber …</w:t>
      </w:r>
    </w:p>
    <w:p>
      <w:pPr>
        <w:numPr>
          <w:ilvl w:val="0"/>
          <w:numId w:val="53377714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Geschenknehmer … Geburtsdatum?</w:t>
      </w:r>
    </w:p>
    <w:p>
      <w:pPr>
        <w:numPr>
          <w:ilvl w:val="0"/>
          <w:numId w:val="53377714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Vertretungsverhältnis?</w:t>
      </w:r>
    </w:p>
    <w:p>
      <w:pPr>
        <w:numPr>
          <w:ilvl w:val="0"/>
          <w:numId w:val="53377714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Minderjährigkeit?</w:t>
      </w:r>
    </w:p>
    <w:p>
      <w:pPr>
        <w:numPr>
          <w:ilvl w:val="0"/>
          <w:numId w:val="53377714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Welche Formvorschriften sind zu beachten? (Notariatsakt?)</w:t>
      </w:r>
    </w:p>
    <w:p>
      <w:pPr>
        <w:numPr>
          <w:ilvl w:val="0"/>
          <w:numId w:val="533777145"/>
        </w:numPr>
        <w:spacing w:before="0" w:after="0" w:line="288" w:lineRule="auto"/>
        <w:jc w:val="left"/>
        <w:rPr>
          <w:rFonts w:ascii="Arial" w:hAnsi="Arial" w:eastAsia="Arial" w:cs="Arial"/>
          <w:color w:val="000000"/>
          <w:sz w:val="20"/>
          <w:szCs w:val="20"/>
        </w:rPr>
      </w:pPr>
    </w:p>
    <w:p>
      <w:pPr>
        <w:widowControl w:val="on"/>
        <w:pBdr/>
        <w:spacing w:before="140" w:after="240" w:line="288" w:lineRule="auto"/>
        <w:ind w:left="0" w:right="0"/>
        <w:jc w:val="left"/>
      </w:pPr>
      <w:r>
        <w:rPr>
          <w:rFonts w:ascii="Arial" w:hAnsi="Arial" w:eastAsia="Arial" w:cs="Arial"/>
          <w:color w:val="000000"/>
          <w:sz w:val="20"/>
          <w:szCs w:val="20"/>
        </w:rPr>
        <w:t xml:space="preserve">Motive</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 2 Geschenkgegenstand</w:t>
      </w:r>
    </w:p>
    <w:p>
      <w:pPr>
        <w:numPr>
          <w:ilvl w:val="0"/>
          <w:numId w:val="80897771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Genaue Beschreibung (nur Sachen können geschenkt werden, nicht
„… das ganze Vermögen“)</w:t>
      </w:r>
    </w:p>
    <w:p>
      <w:pPr>
        <w:numPr>
          <w:ilvl w:val="0"/>
          <w:numId w:val="80897771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Ggf negative Abgrenzungen: Was gehört nicht dazu?</w:t>
      </w:r>
    </w:p>
    <w:p>
      <w:pPr>
        <w:numPr>
          <w:ilvl w:val="0"/>
          <w:numId w:val="80897771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Bei Liegenschaften: Einlagezahl, Grundstücksnummern,
Katastralgemeinde und Grundbuchsgericht, Qualität der
Grundstücke</w:t>
      </w:r>
    </w:p>
    <w:p>
      <w:pPr>
        <w:numPr>
          <w:ilvl w:val="0"/>
          <w:numId w:val="80897771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Belastungen?</w:t>
      </w:r>
    </w:p>
    <w:p>
      <w:pPr>
        <w:numPr>
          <w:ilvl w:val="0"/>
          <w:numId w:val="808977719"/>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Zubehör</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 3 Schenkungsvereinbarung</w:t>
      </w:r>
    </w:p>
    <w:p>
      <w:pPr>
        <w:numPr>
          <w:ilvl w:val="0"/>
          <w:numId w:val="13359160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Hinweis auf die Schenkungsabsicht (Unentgeltlichkeit genügt
nicht!)</w:t>
      </w:r>
    </w:p>
    <w:p>
      <w:pPr>
        <w:numPr>
          <w:ilvl w:val="0"/>
          <w:numId w:val="13359160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Vertragsannahmeerklärung</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 4 Wirkliche Übergabe</w:t>
      </w:r>
    </w:p>
    <w:p>
      <w:pPr>
        <w:widowControl w:val="on"/>
        <w:pBdr/>
        <w:spacing w:before="140" w:after="240" w:line="288" w:lineRule="auto"/>
        <w:ind w:left="0" w:right="0"/>
        <w:jc w:val="left"/>
      </w:pPr>
      <w:r>
        <w:rPr>
          <w:rFonts w:ascii="Arial" w:hAnsi="Arial" w:eastAsia="Arial" w:cs="Arial"/>
          <w:color w:val="000000"/>
          <w:sz w:val="20"/>
          <w:szCs w:val="20"/>
        </w:rPr>
        <w:t xml:space="preserve">Individualisierung des Übergabevorganges, nämlich zB</w:t>
      </w:r>
    </w:p>
    <w:p>
      <w:pPr>
        <w:numPr>
          <w:ilvl w:val="0"/>
          <w:numId w:val="53521195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bei Liegenschaften zumindest außerbücherliche
Übergabe („Schlüsselübergabe“). Die Erklärung „Übergabe mit
Unterschrift vollzogen“ genügt nicht (gemeinsame Begehung und
Übergabe der Verwaltungsunterlagen ist typische und ausreichende
Übergabshandlung);</w:t>
      </w:r>
    </w:p>
    <w:p>
      <w:pPr>
        <w:numPr>
          <w:ilvl w:val="0"/>
          <w:numId w:val="53521195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bei Forderungen: Übergabe der Schuldurkunde oder Verständigung
des Schuldners;</w:t>
      </w:r>
    </w:p>
    <w:p>
      <w:pPr>
        <w:numPr>
          <w:ilvl w:val="0"/>
          <w:numId w:val="53521195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bei Sparkassenbüchern Übergabe des Sparkassenbuches, bei
Sparbüchern mit Losungswort: Mitteilung des Losungswortes,
ansonsten Einzahlung für den Beschenkten; übersteigt das Guthaben
einen Wert von EUR 15.000,– ist es erforderlich, dass die
Identität des Erwerbers feststeht;</w:t>
      </w:r>
    </w:p>
    <w:p>
      <w:pPr>
        <w:numPr>
          <w:ilvl w:val="0"/>
          <w:numId w:val="53521195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bei Aktien: schriftliche Bevollmächtigung zur Behebung von
Aktien aus einem Bankdepot mit Ausfolgungsauftrag an die Bank;</w:t>
      </w:r>
    </w:p>
    <w:p>
      <w:pPr>
        <w:numPr>
          <w:ilvl w:val="0"/>
          <w:numId w:val="53521195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bei gemeinsamer Gewahrsam genügt zur wirklichen Übergabe, wenn
der Beschenkte die tatsächliche Herrschaft über die Sache ausüben
kann;</w:t>
      </w:r>
    </w:p>
    <w:p>
      <w:pPr>
        <w:numPr>
          <w:ilvl w:val="0"/>
          <w:numId w:val="535211956"/>
        </w:numPr>
        <w:spacing w:before="0" w:after="0" w:line="288" w:lineRule="auto"/>
        <w:jc w:val="left"/>
        <w:rPr>
          <w:rFonts w:ascii="Arial" w:hAnsi="Arial" w:eastAsia="Arial" w:cs="Arial"/>
          <w:color w:val="000000"/>
          <w:sz w:val="20"/>
          <w:szCs w:val="20"/>
        </w:rPr>
      </w:pPr>
    </w:p>
    <w:p>
      <w:pPr>
        <w:widowControl w:val="on"/>
        <w:pBdr/>
        <w:spacing w:before="140" w:after="240" w:line="288" w:lineRule="auto"/>
        <w:ind w:left="0" w:right="0"/>
        <w:jc w:val="left"/>
      </w:pPr>
      <w:r>
        <w:rPr>
          <w:rFonts w:ascii="Arial" w:hAnsi="Arial" w:eastAsia="Arial" w:cs="Arial"/>
          <w:color w:val="000000"/>
          <w:sz w:val="20"/>
          <w:szCs w:val="20"/>
        </w:rPr>
        <w:t xml:space="preserve">genaue Festlegung des Zeitpunktes.</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 5 Schenkungsmotiv</w:t>
      </w:r>
    </w:p>
    <w:p>
      <w:pPr>
        <w:widowControl w:val="on"/>
        <w:pBdr/>
        <w:spacing w:before="140" w:after="240" w:line="288" w:lineRule="auto"/>
        <w:ind w:left="0" w:right="0"/>
        <w:jc w:val="left"/>
      </w:pPr>
      <w:r>
        <w:rPr>
          <w:rFonts w:ascii="Arial" w:hAnsi="Arial" w:eastAsia="Arial" w:cs="Arial"/>
          <w:color w:val="000000"/>
          <w:sz w:val="20"/>
          <w:szCs w:val="20"/>
        </w:rPr>
        <w:t xml:space="preserve">Die Anführung der Beweggründe (des Schenkungsmotives) empfiehlt
sich aufgrund der Anfechtungsmöglichkeit wegen Motivirrtums,</w:t>
      </w:r>
    </w:p>
    <w:p>
      <w:pPr>
        <w:numPr>
          <w:ilvl w:val="0"/>
          <w:numId w:val="13320823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zB ein bestimmter Verwendungszweck des Geschenkgegenstandes
(insbesondere wenn es sich um Bargeld handelt)</w:t>
      </w:r>
    </w:p>
    <w:p>
      <w:pPr>
        <w:numPr>
          <w:ilvl w:val="0"/>
          <w:numId w:val="13320823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Ist vielleicht ein anderer Vertragstypus angesichts des
vorliegenden Beweggrundes besser geeignet? (Erbvertrag?)</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 6 Widerrufsverzicht</w:t>
      </w:r>
    </w:p>
    <w:p>
      <w:pPr>
        <w:widowControl w:val="on"/>
        <w:pBdr/>
        <w:spacing w:before="140" w:after="240" w:line="288" w:lineRule="auto"/>
        <w:ind w:left="0" w:right="0"/>
        <w:jc w:val="left"/>
      </w:pPr>
      <w:r>
        <w:rPr>
          <w:rFonts w:ascii="Arial" w:hAnsi="Arial" w:eastAsia="Arial" w:cs="Arial"/>
          <w:color w:val="000000"/>
          <w:sz w:val="20"/>
          <w:szCs w:val="20"/>
        </w:rPr>
        <w:t xml:space="preserve">Grundsätzlich ist einseitiger Widerruf einer Schenkung nicht
möglich. Das Gesetz sieht allerdings eine Widerrufsmöglichkeit vor
wegen:</w:t>
      </w:r>
    </w:p>
    <w:p>
      <w:pPr>
        <w:numPr>
          <w:ilvl w:val="0"/>
          <w:numId w:val="78883327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Bedürftigkeit des Geschenkgebers</w:t>
      </w:r>
    </w:p>
    <w:p>
      <w:pPr>
        <w:numPr>
          <w:ilvl w:val="0"/>
          <w:numId w:val="78883327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Undank des Geschenkgebers</w:t>
      </w:r>
    </w:p>
    <w:p>
      <w:pPr>
        <w:numPr>
          <w:ilvl w:val="0"/>
          <w:numId w:val="78883327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Verkürzung des Unterhaltes (der Anspruch steht auch dem zur
Zeit der Schenkung gezeugten, noch ungeborenen Kind zu)</w:t>
      </w:r>
    </w:p>
    <w:p>
      <w:pPr>
        <w:numPr>
          <w:ilvl w:val="0"/>
          <w:numId w:val="78883327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Verkürzung des Pflichtteiles</w:t>
      </w:r>
    </w:p>
    <w:p>
      <w:pPr>
        <w:numPr>
          <w:ilvl w:val="0"/>
          <w:numId w:val="78883327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Nachgeborener Kinder</w:t>
      </w:r>
    </w:p>
    <w:p>
      <w:pPr>
        <w:numPr>
          <w:ilvl w:val="0"/>
          <w:numId w:val="78883327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Schenkungen im Rahmen eines Verlöbnisses und Widerruf durch den
schuldlosen Teil</w:t>
      </w:r>
    </w:p>
    <w:p>
      <w:pPr>
        <w:numPr>
          <w:ilvl w:val="0"/>
          <w:numId w:val="788833270"/>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Schenkungen an Verlobte durch außenstehende Dritte und Widerruf
bei Auflösung des Verlöbnisses. Den Außenstehenden darf daran kein
Verschulden treffen.</w:t>
      </w:r>
    </w:p>
    <w:p>
      <w:pPr>
        <w:widowControl w:val="on"/>
        <w:pBdr/>
        <w:spacing w:before="140" w:after="240" w:line="288" w:lineRule="auto"/>
        <w:ind w:left="0" w:right="0"/>
        <w:jc w:val="left"/>
      </w:pPr>
      <w:r>
        <w:rPr>
          <w:rFonts w:ascii="Arial" w:hAnsi="Arial" w:eastAsia="Arial" w:cs="Arial"/>
          <w:color w:val="000000"/>
          <w:sz w:val="20"/>
          <w:szCs w:val="20"/>
        </w:rPr>
        <w:t xml:space="preserve">Der Widerrufsverzicht des Schenkers kann durch ein Veräußerungs-
und Belastungsverbot zugunsten des Beschenkten ersetzt werden. Der
Widerrufsverzicht bedeutet (nur), dass die Schenkung nicht grundlos
widerrufen werden darf und bindet den Geschenkgeber (nur)
obligatorisch. Ein Belastungs und Veräußerungsverbot untersagt dem
Geschenkgeber die Belastung und den Verkauf (der Liegenschaft) und
bindet – ohne Verbücherung(smöglichkeit) – den
Geschenkgeber (ebenfalls nur) obligatorisch. Auch die Warnfunktion
ist jedenfalls gleichwertig (OGH 04.09.2014, 5 Ob 39/14t).</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 7 Schenkung auf den Todesfall</w:t>
      </w:r>
    </w:p>
    <w:p>
      <w:pPr>
        <w:widowControl w:val="on"/>
        <w:pBdr/>
        <w:spacing w:before="140" w:after="240" w:line="288" w:lineRule="auto"/>
        <w:ind w:left="0" w:right="0"/>
        <w:jc w:val="left"/>
      </w:pPr>
      <w:r>
        <w:rPr>
          <w:rFonts w:ascii="Arial" w:hAnsi="Arial" w:eastAsia="Arial" w:cs="Arial"/>
          <w:color w:val="000000"/>
          <w:sz w:val="20"/>
          <w:szCs w:val="20"/>
        </w:rPr>
        <w:t xml:space="preserve">Grundsätzlich immer mit Widerrufsverzicht verbunden, die
gesetzlichen Widerrufsgründe bleiben erhalten:</w:t>
      </w:r>
    </w:p>
    <w:p>
      <w:pPr>
        <w:numPr>
          <w:ilvl w:val="0"/>
          <w:numId w:val="26999737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aufschiebende Bedingung des Überlebens des Geschenknehmers
ist nicht zulässig</w:t>
      </w:r>
    </w:p>
    <w:p>
      <w:pPr>
        <w:numPr>
          <w:ilvl w:val="0"/>
          <w:numId w:val="26999737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Keine sofortige Übergabe möglich, deshalb immer
notariatsaktpflichtig</w:t>
      </w:r>
    </w:p>
    <w:p>
      <w:pPr>
        <w:numPr>
          <w:ilvl w:val="0"/>
          <w:numId w:val="26999737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Soll es dem Geschenkgeber untersagt sein, den
Geschenkgegenstand zu verändern (zu belasten?)</w:t>
      </w:r>
    </w:p>
    <w:p>
      <w:pPr>
        <w:numPr>
          <w:ilvl w:val="0"/>
          <w:numId w:val="26999737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Vereinbarung eines Veräußerungs- und Belastungsverbotes?
(§ 364c ABGB!)</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 8 Aufschiebende Bedingungen</w:t>
      </w:r>
    </w:p>
    <w:p>
      <w:pPr>
        <w:numPr>
          <w:ilvl w:val="0"/>
          <w:numId w:val="38995782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In diesem Fall sind immer die Formvorschriften für
Schenkungsverträge zu beachten, da eine wirkliche Übergabe vor
Bedingungseintritt nicht möglich ist</w:t>
      </w:r>
    </w:p>
    <w:p>
      <w:pPr>
        <w:numPr>
          <w:ilvl w:val="0"/>
          <w:numId w:val="38995782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Grundverkehrsbeschränkungen sind grundsätzlich zu beachten, da
die Unentgeltlichkeit für sich selbst Bewilligungsvorgänge nicht
entbehrlich macht</w:t>
      </w:r>
    </w:p>
    <w:p>
      <w:pPr>
        <w:numPr>
          <w:ilvl w:val="0"/>
          <w:numId w:val="38995782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Deviseninländereigenschaft gegeben?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 9 Daten für Abgabenbemessung</w:t>
      </w:r>
    </w:p>
    <w:p>
      <w:pPr>
        <w:numPr>
          <w:ilvl w:val="0"/>
          <w:numId w:val="58040634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Geburtsdatum des Geschenknehmers wegen des Kapitalwertes von
Renten … (Bewertungsgesetz)</w:t>
      </w:r>
    </w:p>
    <w:p>
      <w:pPr>
        <w:numPr>
          <w:ilvl w:val="0"/>
          <w:numId w:val="58040634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Einheitswert bzw Verkehrswert wegen Progression</w:t>
      </w:r>
    </w:p>
    <w:p>
      <w:pPr>
        <w:numPr>
          <w:ilvl w:val="0"/>
          <w:numId w:val="58040634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Geburtsdaten bei Liegenschaftsschenkung</w:t>
      </w:r>
    </w:p>
    <w:p>
      <w:pPr>
        <w:numPr>
          <w:ilvl w:val="0"/>
          <w:numId w:val="58040634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Bei beweglichem Vermögen Anzeigepflicht bei FA, wenn der Wert
EUR 50.000,– der Schenkung zwischen Angehörigen, bzw
EUR 15.000,– bei Nichtangehörigen übersteigt</w:t>
      </w:r>
    </w:p>
    <w:p>
      <w:pPr>
        <w:numPr>
          <w:ilvl w:val="0"/>
          <w:numId w:val="58040634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Bei Liegenschaft: Grunderwerbssteuer fällt an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 10 Kosten und Gebühren</w:t>
      </w:r>
    </w:p>
    <w:p>
      <w:pPr>
        <w:numPr>
          <w:ilvl w:val="0"/>
          <w:numId w:val="45057266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Kosten- und Gebührentragungspflicht (hat wegen
schuldrechtlichen und gesetzlichen Solidar- und
Mithaftungsbestimmungen praktisch regelmäßig nur im Innenverhältnis
Bedeutung)</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50572666">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80406348">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389957826">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69997376">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788833270">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133208231">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35211956">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133591601">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08977719">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33777145">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23772841">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8506434">
    <w:multiLevelType w:val="hybridMultilevel"/>
    <w:lvl w:ilvl="0" w:tplc="10299144">
      <w:start w:val="1"/>
      <w:numFmt w:val="decimal"/>
      <w:lvlText w:val="%1."/>
      <w:lvlJc w:val="left"/>
      <w:pPr>
        <w:ind w:left="720" w:hanging="360"/>
      </w:pPr>
    </w:lvl>
    <w:lvl w:ilvl="1" w:tplc="10299144" w:tentative="1">
      <w:start w:val="1"/>
      <w:numFmt w:val="lowerLetter"/>
      <w:lvlText w:val="%2."/>
      <w:lvlJc w:val="left"/>
      <w:pPr>
        <w:ind w:left="1440" w:hanging="360"/>
      </w:pPr>
    </w:lvl>
    <w:lvl w:ilvl="2" w:tplc="10299144" w:tentative="1">
      <w:start w:val="1"/>
      <w:numFmt w:val="lowerRoman"/>
      <w:lvlText w:val="%3."/>
      <w:lvlJc w:val="right"/>
      <w:pPr>
        <w:ind w:left="2160" w:hanging="180"/>
      </w:pPr>
    </w:lvl>
    <w:lvl w:ilvl="3" w:tplc="10299144" w:tentative="1">
      <w:start w:val="1"/>
      <w:numFmt w:val="decimal"/>
      <w:lvlText w:val="%4."/>
      <w:lvlJc w:val="left"/>
      <w:pPr>
        <w:ind w:left="2880" w:hanging="360"/>
      </w:pPr>
    </w:lvl>
    <w:lvl w:ilvl="4" w:tplc="10299144" w:tentative="1">
      <w:start w:val="1"/>
      <w:numFmt w:val="lowerLetter"/>
      <w:lvlText w:val="%5."/>
      <w:lvlJc w:val="left"/>
      <w:pPr>
        <w:ind w:left="3600" w:hanging="360"/>
      </w:pPr>
    </w:lvl>
    <w:lvl w:ilvl="5" w:tplc="10299144" w:tentative="1">
      <w:start w:val="1"/>
      <w:numFmt w:val="lowerRoman"/>
      <w:lvlText w:val="%6."/>
      <w:lvlJc w:val="right"/>
      <w:pPr>
        <w:ind w:left="4320" w:hanging="180"/>
      </w:pPr>
    </w:lvl>
    <w:lvl w:ilvl="6" w:tplc="10299144" w:tentative="1">
      <w:start w:val="1"/>
      <w:numFmt w:val="decimal"/>
      <w:lvlText w:val="%7."/>
      <w:lvlJc w:val="left"/>
      <w:pPr>
        <w:ind w:left="5040" w:hanging="360"/>
      </w:pPr>
    </w:lvl>
    <w:lvl w:ilvl="7" w:tplc="10299144" w:tentative="1">
      <w:start w:val="1"/>
      <w:numFmt w:val="lowerLetter"/>
      <w:lvlText w:val="%8."/>
      <w:lvlJc w:val="left"/>
      <w:pPr>
        <w:ind w:left="5760" w:hanging="360"/>
      </w:pPr>
    </w:lvl>
    <w:lvl w:ilvl="8" w:tplc="10299144" w:tentative="1">
      <w:start w:val="1"/>
      <w:numFmt w:val="lowerRoman"/>
      <w:lvlText w:val="%9."/>
      <w:lvlJc w:val="right"/>
      <w:pPr>
        <w:ind w:left="6480" w:hanging="180"/>
      </w:pPr>
    </w:lvl>
  </w:abstractNum>
  <w:abstractNum w:abstractNumId="28506433">
    <w:multiLevelType w:val="hybridMultilevel"/>
    <w:lvl w:ilvl="0" w:tplc="1216549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8506433">
    <w:abstractNumId w:val="28506433"/>
  </w:num>
  <w:num w:numId="28506434">
    <w:abstractNumId w:val="28506434"/>
  </w:num>
  <w:num w:numId="423772841">
    <w:abstractNumId w:val="423772841"/>
  </w:num>
  <w:num w:numId="533777145">
    <w:abstractNumId w:val="533777145"/>
  </w:num>
  <w:num w:numId="808977719">
    <w:abstractNumId w:val="808977719"/>
  </w:num>
  <w:num w:numId="133591601">
    <w:abstractNumId w:val="133591601"/>
  </w:num>
  <w:num w:numId="535211956">
    <w:abstractNumId w:val="535211956"/>
  </w:num>
  <w:num w:numId="133208231">
    <w:abstractNumId w:val="133208231"/>
  </w:num>
  <w:num w:numId="788833270">
    <w:abstractNumId w:val="788833270"/>
  </w:num>
  <w:num w:numId="269997376">
    <w:abstractNumId w:val="269997376"/>
  </w:num>
  <w:num w:numId="389957826">
    <w:abstractNumId w:val="389957826"/>
  </w:num>
  <w:num w:numId="580406348">
    <w:abstractNumId w:val="580406348"/>
  </w:num>
  <w:num w:numId="450572666">
    <w:abstractNumId w:val="45057266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811742796" Type="http://schemas.openxmlformats.org/officeDocument/2006/relationships/numbering" Target="numbering.xml"/><Relationship Id="rId630098735"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