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comments.xml" ContentType="application/vnd.openxmlformats-officedocument.wordprocessingml.comment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16551333" w:name="document"/>
    <w:bookmarkEnd w:id="16551333"/>
    <w:p/>
    <w:p>
      <w:pPr>
        <w:widowControl w:val="on"/>
        <w:pBdr/>
        <w:spacing w:before="0" w:after="280" w:line="240" w:lineRule="auto"/>
        <w:ind w:left="0" w:right="0"/>
        <w:jc w:val="left"/>
      </w:pPr>
      <w:r>
        <w:rPr>
          <w:rFonts w:ascii="Arial" w:hAnsi="Arial" w:eastAsia="Arial" w:cs="Arial"/>
          <w:color w:val="363A40"/>
          <w:sz w:val="24"/>
          <w:szCs w:val="24"/>
        </w:rPr>
        <w:t xml:space="preserve">Dokument-ID: 1000926 | Alfred Michael Wolf -
Andrea Futterknecht | Muster | Schriftsatzmuster</w:t>
      </w:r>
    </w:p>
    <w:p>
      <w:pPr>
        <w:widowControl w:val="on"/>
        <w:pBdr/>
        <w:spacing w:before="340" w:after="220" w:line="268" w:lineRule="auto"/>
        <w:ind w:left="0" w:right="0"/>
        <w:jc w:val="left"/>
        <w:outlineLvl w:val="0"/>
      </w:pPr>
      <w:r>
        <w:rPr>
          <w:rFonts w:ascii="Arial" w:hAnsi="Arial" w:eastAsia="Arial" w:cs="Arial"/>
          <w:b/>
          <w:bCs/>
          <w:color w:val="363A40"/>
          <w:sz w:val="36"/>
          <w:szCs w:val="36"/>
        </w:rPr>
        <w:t xml:space="preserve">Einverleibung des Eigentumsrechtes samt Verbindung gem § 13 WEG
(Partnerwohnungseigentum), Löschung des Wohnungsrechtes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Grundbuchsstand:</w: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KATASTRALGEMEINDE 11006 Korneuburg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BEZIRKSGERICHT Korneuburg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EINLAGEZAHL 10</w:t>
            </w:r>
          </w:p>
        </w:tc>
      </w:tr>
    </w:tbl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Eingeschränkter Auszug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B-Blatt eingeschränkt auf die Laufnummer(n) 27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C-Blatt eingeschränkt auf Belastungen für das angezeigte
B-Blatt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Letzte TZ 6163/2019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WOHNUNGSEIGENTUM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Einlage umgeschrieben gemäß Verordnung BGBl II 143/2012 am
07.05.2012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A1</w:t>
      </w:r>
    </w:p>
    <w:p>
      <w:r>
        <w:pict>
          <v:rect id="_x0000_i1026" style="width:0;height:1.5pt" o:hralign="center" o:hrstd="t" o:hr="t" o:hrnoshade="t" fillcolor="#a0a0a0" stroked="f"/>
        </w:pic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GST-NR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 (NUTZUNG)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FLÄCHE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GST-ADRESSE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1213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GST-Fläche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999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Baufl (10)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751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Gärten (10)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248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Schuhmanngasse 4</w:t>
            </w:r>
          </w:p>
        </w:tc>
      </w:tr>
    </w:tbl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Legende: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Baufl (10): Bauflächen (Gebäude)</w:t>
      </w:r>
      <w:r>
        <w:rPr>
          <w:rFonts w:ascii="Arial" w:hAnsi="Arial" w:eastAsia="Arial" w:cs="Arial"/>
          <w:color w:val="000000"/>
          <w:sz w:val="20"/>
          <w:szCs w:val="20"/>
        </w:rPr>
        <w:br/>
        <w:t xml:space="preserve">Gärten (10): Gärten (Gärten)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A2</w:t>
      </w:r>
    </w:p>
    <w:p>
      <w:r>
        <w:pict>
          <v:rect id="_x0000_i1026" style="width:0;height:1.5pt" o:hralign="center" o:hrstd="t" o:hr="t" o:hrnoshade="t" fillcolor="#a0a0a0" stroked="f"/>
        </w:pic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1540/2013 Verwalter der Liegenschaft gem Pkt VII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Wohnungseigentumsvertrag 2013-03-04 Gustav Mayer &amp; Co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Immobilien-Treuhand GmbH (FN 155239x)</w:t>
            </w:r>
          </w:p>
        </w:tc>
      </w:tr>
    </w:tbl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B</w:t>
      </w:r>
    </w:p>
    <w:p>
      <w:r>
        <w:pict>
          <v:rect id="_x0000_i1026" style="width:0;height:1.5pt" o:hralign="center" o:hrstd="t" o:hr="t" o:hrnoshade="t" fillcolor="#a0a0a0" stroked="f"/>
        </w:pic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27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ANTEIL: 132/2006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Johann Käufer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GEB: 1955-05-05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ADR: Hauptstraße 2, 1010 Wien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1540/2013 2383/2016 Wohnungseigentum an Top 3 samt Kellerabteil
3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1540/2013 Berichtigung des Grundbuches gem § 136 GBG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6878/2013 IM RANG 6281/2013 Kaufvertrag 2013-11-21
Eigentumsrecht</w:t>
            </w:r>
          </w:p>
        </w:tc>
      </w:tr>
    </w:tbl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C</w:t>
      </w:r>
    </w:p>
    <w:p>
      <w:r>
        <w:pict>
          <v:rect id="_x0000_i1026" style="width:0;height:1.5pt" o:hralign="center" o:hrstd="t" o:hr="t" o:hrnoshade="t" fillcolor="#a0a0a0" stroked="f"/>
        </w:pict>
      </w:r>
    </w:p>
    <w:tbl>
      <w:tblPr>
        <w:tblStyle w:val="NormalTablePHPDOCX"/>
        <w:tblW w:w="5000" w:type="pct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30/1908 Verpflichtung, das neben der Schaumannstraße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errichtete Flugdach auf Verlangen für die Stadtgemeinde Korneuburg
zu beseitigen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22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1540/2013 Vereinbarung über die Aufteilung der
Aufwendungen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gem § 32 WEG 2002 gem Pkt VIII.
Wohnungseigentumsvertrag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2013-03-04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29</w:t>
            </w:r>
          </w:p>
        </w:tc>
        <w:tc>
          <w:tcPr>
            <w:tcW w:w="0" w:type="auto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Auf Anteil B-LNR 27</w:t>
            </w:r>
          </w:p>
        </w:tc>
      </w:tr>
      <w:tr>
        <w:trPr>
          <w:trHeight w:val="0" w:hRule="atLeast"/>
        </w:trPr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</w:t>
            </w:r>
          </w:p>
        </w:tc>
        <w:tc>
          <w:tcPr>
            <w:tcW w:w="0" w:type="auto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2345/2014 WOHNUNGSGEBRAUCHSRECHT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gem Pkt Drittens Schenkungsvertrag 2014-02-15 für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Franz Käufer geb 1933-03-03</w:t>
            </w:r>
          </w:p>
        </w:tc>
      </w:tr>
    </w:tbl>
    <w:p>
      <w:r>
        <w:pict>
          <v:rect id="_x0000_i1026" style="width:0;height:1.5pt" o:hralign="center" o:hrstd="t" o:hr="t" o:hrnoshade="t" fillcolor="#a0a0a0" stroked="f"/>
        </w:pict>
      </w:r>
    </w:p>
    <w:p>
      <w:pPr>
        <w:widowControl w:val="on"/>
        <w:pBdr/>
        <w:spacing w:before="140" w:after="240" w:line="288" w:lineRule="auto"/>
        <w:ind w:left="0" w:right="0"/>
        <w:jc w:val="center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ENDE</w:t>
      </w:r>
    </w:p>
    <w:p>
      <w:r>
        <w:pict>
          <v:rect id="_x0000_i1026" style="width:0;height:1.5pt" o:hralign="center" o:hrstd="t" o:hr="t" o:hrnoshade="t" fillcolor="#a0a0a0" stroked="f"/>
        </w:pict>
      </w:r>
    </w:p>
    <w:p>
      <w:pPr>
        <w:pageBreakBefore w:val="on"/>
      </w:pPr>
      <w:r/>
    </w:p>
    <w:tbl>
      <w:tblPr>
        <w:tblStyle w:val="NormalTablePHPDOCX"/>
        <w:tblW w:w="8700" w:type="dxa"/>
        <w:tblInd w:w="0" w:type="auto"/>
        <w:tblBorders>
          <w:top w:val="nil" w:color="363A40" w:sz="0"/>
          <w:left w:val="nil" w:color="363A40" w:sz="0"/>
          <w:bottom w:val="nil" w:color="363A40" w:sz="0"/>
          <w:right w:val="nil" w:color="363A40" w:sz="0"/>
        </w:tblBorders>
      </w:tblPr>
      <w:tblGrid>
        <w:gridCol w:w="367.5"/>
        <w:gridCol w:w="367.5"/>
        <w:gridCol w:w="930"/>
        <w:gridCol w:w="3015"/>
        <w:gridCol w:w="4020"/>
      </w:tblGrid>
      <w:tr>
        <w:trPr>
          <w:trHeight w:val="0" w:hRule="atLeast"/>
        </w:trPr>
        <w:tc>
          <w:tcPr>
            <w:tcW w:w="8700" w:type="dxa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77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2"/>
                <w:szCs w:val="22"/>
                <w:shd w:val="clear" w:color="auto" w:fill="FFFFFF"/>
              </w:rPr>
              <w:t xml:space="preserve">Grundbuchsantrag</w:t>
            </w:r>
          </w:p>
        </w:tc>
      </w:tr>
      <w:tr>
        <w:trPr>
          <w:trHeight w:val="0" w:hRule="atLeast"/>
        </w:trPr>
        <w:tc>
          <w:tcPr>
            <w:tcW w:w="8700" w:type="dxa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Interne Informationen</w:t>
            </w:r>
          </w:p>
        </w:tc>
      </w:tr>
      <w:tr>
        <w:trPr>
          <w:trHeight w:val="0" w:hRule="atLeast"/>
        </w:trPr>
        <w:tc>
          <w:tcPr>
            <w:tcW w:w="735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Akt: 1/25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035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Status: Nicht gesendet</w:t>
            </w:r>
          </w:p>
        </w:tc>
      </w:tr>
      <w:tr>
        <w:trPr>
          <w:trHeight w:val="0" w:hRule="atLeast"/>
        </w:trPr>
        <w:tc>
          <w:tcPr>
            <w:tcW w:w="735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T1/RA/R100100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035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Datum: 31.03.2025 22:39:54</w:t>
            </w:r>
          </w:p>
        </w:tc>
      </w:tr>
      <w:tr>
        <w:trPr>
          <w:trHeight w:val="0" w:hRule="atLeast"/>
        </w:trPr>
        <w:tc>
          <w:tcPr>
            <w:tcW w:w="8700" w:type="dxa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Gericht (Dienststelle)</w:t>
            </w:r>
          </w:p>
        </w:tc>
      </w:tr>
      <w:tr>
        <w:trPr>
          <w:trHeight w:val="0" w:hRule="atLeast"/>
        </w:trPr>
        <w:tc>
          <w:tcPr>
            <w:tcW w:w="735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110 – Bezirksgericht Korneuburg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7035" w:type="dxa"/>
            <w:gridSpan w:val="2"/>
            <w:vMerge w:val="restart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Es liegt ein begünstigter Erwerbsvorgang gem § 26a
Abs 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Z 1 GGG vor.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Für die Bemessung der Eintragungsgebühr ist der dreifache
Einheitswert heranzuziehen. Laut Einheitswertabfrage (FinanzOnline)
beträgt der (anteilige) Einheitswert EUR … (siehe
pdf-Anlage).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Der Käufer ist der eingetragene Partner der Geschenkgeberin; dies
ergibt sich aus dem angefügten Nachweis
(Partnerschaftsurkunde).</w:t>
            </w:r>
          </w:p>
        </w:tc>
      </w:tr>
      <w:tr>
        <w:trPr>
          <w:trHeight w:val="0" w:hRule="atLeast"/>
        </w:trPr>
        <w:tc>
          <w:tcPr>
            <w:tcW w:w="735" w:type="dxa"/>
            <w:gridSpan w:val="2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Gebührenindikator: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 Gebühreneinzug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gridSpan w:val="2"/>
            <w:vMerge w:val="continue"/>
          </w:tcPr>
          <w:p/>
        </w:tc>
      </w:tr>
      <w:tr>
        <w:trPr>
          <w:trHeight w:val="0" w:hRule="atLeast"/>
        </w:trPr>
        <w:tc>
          <w:tcPr>
            <w:tcW w:w="8700" w:type="dxa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Antragsvertreter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Dr. Anton ADVOKAT, Dr. Bernd ADVOKAT, Rechtsanwälte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GZ: 1/20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Gerichtsstraße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Vollmacht gem § 30 Abs 2 ZPO und § 77 Abs 1 und
2 GBG erteilt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Gebühreneinzug IBAN: AT11111111111111111 BIC: RZOOAT2L680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Antragsteller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Johann Käufer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Geb: 1955-05-05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GZ: 11/20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Beteiligter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Karin Käufer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Geb: 1966-06-06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Beteiligter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Franz Käufer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Geb: 1933-03-03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22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1010 Wien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Beteiligter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Gemeinde XY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2100 Korneuburg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Beteiligter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Finanzamt, Lagefinanzamt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Hauptstraße 11</w:t>
            </w: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br/>
              <w:t xml:space="preserve">2100 Korneuburg</w:t>
            </w:r>
          </w:p>
        </w:tc>
      </w:tr>
      <w:tr>
        <w:trPr>
          <w:trHeight w:val="0" w:hRule="atLeast"/>
        </w:trPr>
        <w:tc>
          <w:tcPr>
            <w:tcW w:w="8700" w:type="dxa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01.01.2025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Schenkungsvertrag, Archivium, 20250103FN5ZE0005, B4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01.01.2025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Amtliche
Bescheinigung/Staatsbürgerschaftsnachweis, Archivium,
20250103EBSS90000, B2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04.03.2025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Löschungserklärung, Archivium, 20250204FESS8123000, B2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4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05.03.2025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Einheitswertabfrage über FinanzOnline (per PDF)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5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09.09.2019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Partnerschaftsurkunde (per PDF)</w:t>
            </w:r>
          </w:p>
        </w:tc>
      </w:tr>
      <w:tr>
        <w:trPr>
          <w:trHeight w:val="0" w:hRule="atLeast"/>
        </w:trPr>
        <w:tc>
          <w:tcPr>
            <w:tcW w:w="8700" w:type="dxa"/>
            <w:gridSpan w:val="5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Begehren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</w:t>
            </w:r>
          </w:p>
        </w:tc>
        <w:tc>
          <w:tcPr>
            <w:tcW w:w="8332.5" w:type="dxa"/>
            <w:gridSpan w:val="4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Eigentumsrecht, Einverleibung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Personen (für):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Karin Käufer, geb 1966-06-06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1, Schenkungsvertrag, 01.01.2025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 11006, EZ 10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Eigentumsanteile: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Angaben zum Anteil: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B-LNR:</w:t>
            </w:r>
          </w:p>
        </w:tc>
        <w:tc>
          <w:tcPr>
            <w:tcW w:w="30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Anteil:</w:t>
            </w:r>
          </w:p>
        </w:tc>
        <w:tc>
          <w:tcPr>
            <w:tcW w:w="402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Im Rang TZ: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27</w:t>
            </w:r>
          </w:p>
        </w:tc>
        <w:tc>
          <w:tcPr>
            <w:tcW w:w="30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66/2006</w:t>
            </w:r>
          </w:p>
        </w:tc>
        <w:tc>
          <w:tcPr>
            <w:tcW w:w="402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Bemessung: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EUR 70.000,–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Vorgangsnummer: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101472002025_001002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Selbstberechnung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</w:t>
            </w:r>
          </w:p>
        </w:tc>
        <w:tc>
          <w:tcPr>
            <w:tcW w:w="8332.5" w:type="dxa"/>
            <w:gridSpan w:val="4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b/>
                <w:bCs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Löschung, Einverleibung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Urkunden: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3, Löschungserklärung, 04.03.2025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Einlage:</w:t>
            </w:r>
          </w:p>
        </w:tc>
        <w:tc>
          <w:tcPr>
            <w:tcW w:w="7965" w:type="dxa"/>
            <w:gridSpan w:val="3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KG 11006, EZ 10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Eintragung: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Art</w:t>
            </w:r>
          </w:p>
        </w:tc>
        <w:tc>
          <w:tcPr>
            <w:tcW w:w="30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LNR</w:t>
            </w:r>
          </w:p>
        </w:tc>
        <w:tc>
          <w:tcPr>
            <w:tcW w:w="402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Literal:</w:t>
            </w:r>
          </w:p>
        </w:tc>
      </w:tr>
      <w:tr>
        <w:trPr>
          <w:trHeight w:val="0" w:hRule="atLeast"/>
        </w:trPr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367.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  <w:tc>
          <w:tcPr>
            <w:tcW w:w="93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C-LNR</w:t>
            </w:r>
          </w:p>
        </w:tc>
        <w:tc>
          <w:tcPr>
            <w:tcW w:w="3015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29</w:t>
            </w:r>
          </w:p>
        </w:tc>
        <w:tc>
          <w:tcPr>
            <w:tcW w:w="4020" w:type="dxa"/>
            <w:shd w:val="clear" w:color="auto" w:fill="FFFFFF"/>
            <w:tcMar>
              <w:top w:w="156" w:type="dxa"/>
              <w:left w:w="0" w:type="auto"/>
              <w:bottom w:w="78" w:type="dxa"/>
              <w:right w:w="0" w:type="auto"/>
            </w:tcMar>
            <w:vAlign w:val="top"/>
          </w:tcPr>
          <w:p>
            <w:pPr>
              <w:widowControl w:val="on"/>
              <w:pBdr/>
              <w:shd w:val="clear" w:color="auto" w:fill="FFFFFF"/>
              <w:spacing w:before="0" w:after="0" w:line="288" w:lineRule="auto"/>
              <w:ind w:left="0" w:right="0"/>
              <w:jc w:val="left"/>
              <w:textAlignment w:val="top"/>
            </w:pPr>
            <w:r>
              <w:rPr>
                <w:rFonts w:ascii="Arial" w:hAnsi="Arial" w:eastAsia="Arial" w:cs="Arial"/>
                <w:color w:val="000000"/>
                <w:position w:val="0"/>
                <w:sz w:val="20"/>
                <w:szCs w:val="20"/>
                <w:shd w:val="clear" w:color="auto" w:fill="FFFFFF"/>
              </w:rPr>
              <w:t xml:space="preserve"> </w:t>
            </w:r>
          </w:p>
        </w:tc>
      </w:tr>
    </w:tbl>
    <w:p>
      <w:pPr>
        <w:widowControl w:val="on"/>
        <w:pBdr/>
        <w:spacing w:before="0" w:after="105" w:line="288" w:lineRule="auto"/>
        <w:ind w:left="0" w:right="0"/>
        <w:jc w:val="left"/>
      </w:pPr>
      <w:r>
        <w:rPr>
          <w:rFonts w:ascii="Arial" w:hAnsi="Arial" w:eastAsia="Arial" w:cs="Arial"/>
          <w:b/>
          <w:bCs/>
          <w:color w:val="277DB9"/>
          <w:sz w:val="25"/>
          <w:szCs w:val="25"/>
        </w:rPr>
        <w:t xml:space="preserve">Hinweis:</w:t>
      </w:r>
    </w:p>
    <w:p>
      <w:pPr>
        <w:widowControl w:val="on"/>
        <w:pBdr/>
        <w:spacing w:before="140" w:after="240" w:line="288" w:lineRule="auto"/>
        <w:ind w:left="0" w:right="0"/>
        <w:jc w:val="left"/>
      </w:pPr>
      <w:r>
        <w:rPr>
          <w:rFonts w:ascii="Arial" w:hAnsi="Arial" w:eastAsia="Arial" w:cs="Arial"/>
          <w:color w:val="277DB9"/>
          <w:sz w:val="20"/>
          <w:szCs w:val="20"/>
        </w:rPr>
        <w:t xml:space="preserve">Es ist nicht notwendig, die Verbindung gem § 5, § 13
WEG zu begehren, sie ist vom Gericht anzumerken.</w:t>
      </w:r>
    </w:p>
    <w:sectPr xmlns:w="http://schemas.openxmlformats.org/wordprocessingml/2006/main" xmlns:r="http://schemas.openxmlformats.org/officeDocument/2006/relationships" w:rsidR="00F961DC" w:rsidSect="001A2D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                                  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2D5D" w:rsidRDefault="001A2D5D" w:rsidP="001A2D5D">
      <w:pPr>
        <w:spacing w:after="0" w:line="240" w:lineRule="auto"/>
      </w:pPr>
      <w:r>
        <w:separator/>
      </w:r>
    </w:p>
  </w:endnote>
  <w:end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Arial" w:hAnsi="Arial" w:cs="Arial"/>
        <w:sz w:val="16"/>
        <w:szCs w:val="16"/>
      </w:rPr>
      <w:id w:val="-272557442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6"/>
            <w:szCs w:val="16"/>
          </w:rPr>
          <w:id w:val="-1294594795"/>
          <w:docPartObj>
            <w:docPartGallery w:val="Page Numbers (Top of Page)"/>
            <w:docPartUnique/>
          </w:docPartObj>
        </w:sdtPr>
        <w:sdtEndPr/>
        <w:sdtContent>
          <w:bookmarkStart w:id="0" w:name="_GoBack" w:displacedByCustomXml="prev"/>
          <w:p w:rsidR="001A2D5D" w:rsidRPr="001A2D5D" w:rsidRDefault="001A2D5D">
            <w:pPr>
              <w:pStyle w:val="Fuzeile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Seite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PAGE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  <w:r w:rsidRPr="00E73211">
              <w:rPr>
                <w:rFonts w:ascii="Arial" w:hAnsi="Arial" w:cs="Arial"/>
                <w:color w:val="000000" w:themeColor="text1"/>
                <w:sz w:val="16"/>
                <w:szCs w:val="16"/>
              </w:rPr>
              <w:t xml:space="preserve"> von 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begin"/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instrText>NUMPAGES</w:instrTex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separate"/>
            </w:r>
            <w:r w:rsidR="00E73211">
              <w:rPr>
                <w:rFonts w:ascii="Arial" w:hAnsi="Arial" w:cs="Arial"/>
                <w:b/>
                <w:bCs/>
                <w:noProof/>
                <w:color w:val="000000" w:themeColor="text1"/>
                <w:sz w:val="16"/>
                <w:szCs w:val="16"/>
              </w:rPr>
              <w:t>1</w:t>
            </w:r>
            <w:r w:rsidRPr="00E73211">
              <w:rPr>
                <w:rFonts w:ascii="Arial" w:hAnsi="Arial" w:cs="Arial"/>
                <w:b/>
                <w:bCs/>
                <w:color w:val="000000" w:themeColor="text1"/>
                <w:sz w:val="16"/>
                <w:szCs w:val="16"/>
              </w:rPr>
              <w:fldChar w:fldCharType="end"/>
            </w:r>
          </w:p>
          <w:bookmarkEnd w:id="0" w:displacedByCustomXml="next"/>
        </w:sdtContent>
      </w:sdt>
    </w:sdtContent>
  </w:sdt>
  <w:p w:rsidR="001A2D5D" w:rsidRDefault="001A2D5D">
    <w:pPr>
      <w:pStyle w:val="Fuzeil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Fuzeil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2D5D" w:rsidRDefault="001A2D5D" w:rsidP="001A2D5D">
      <w:pPr>
        <w:spacing w:after="0" w:line="240" w:lineRule="auto"/>
      </w:pPr>
      <w:r>
        <w:separator/>
      </w:r>
    </w:p>
  </w:footnote>
  <w:footnote w:type="continuationSeparator" w:id="0">
    <w:p w:rsidR="001A2D5D" w:rsidRDefault="001A2D5D" w:rsidP="001A2D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73211" w:rsidRDefault="00E73211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861181">
    <w:multiLevelType w:val="hybridMultilevel"/>
    <w:lvl w:ilvl="0" w:tplc="15512008">
      <w:start w:val="1"/>
      <w:numFmt w:val="decimal"/>
      <w:lvlText w:val="%1."/>
      <w:lvlJc w:val="left"/>
      <w:pPr>
        <w:ind w:left="720" w:hanging="360"/>
      </w:pPr>
    </w:lvl>
    <w:lvl w:ilvl="1" w:tplc="15512008" w:tentative="1">
      <w:start w:val="1"/>
      <w:numFmt w:val="lowerLetter"/>
      <w:lvlText w:val="%2."/>
      <w:lvlJc w:val="left"/>
      <w:pPr>
        <w:ind w:left="1440" w:hanging="360"/>
      </w:pPr>
    </w:lvl>
    <w:lvl w:ilvl="2" w:tplc="15512008" w:tentative="1">
      <w:start w:val="1"/>
      <w:numFmt w:val="lowerRoman"/>
      <w:lvlText w:val="%3."/>
      <w:lvlJc w:val="right"/>
      <w:pPr>
        <w:ind w:left="2160" w:hanging="180"/>
      </w:pPr>
    </w:lvl>
    <w:lvl w:ilvl="3" w:tplc="15512008" w:tentative="1">
      <w:start w:val="1"/>
      <w:numFmt w:val="decimal"/>
      <w:lvlText w:val="%4."/>
      <w:lvlJc w:val="left"/>
      <w:pPr>
        <w:ind w:left="2880" w:hanging="360"/>
      </w:pPr>
    </w:lvl>
    <w:lvl w:ilvl="4" w:tplc="15512008" w:tentative="1">
      <w:start w:val="1"/>
      <w:numFmt w:val="lowerLetter"/>
      <w:lvlText w:val="%5."/>
      <w:lvlJc w:val="left"/>
      <w:pPr>
        <w:ind w:left="3600" w:hanging="360"/>
      </w:pPr>
    </w:lvl>
    <w:lvl w:ilvl="5" w:tplc="15512008" w:tentative="1">
      <w:start w:val="1"/>
      <w:numFmt w:val="lowerRoman"/>
      <w:lvlText w:val="%6."/>
      <w:lvlJc w:val="right"/>
      <w:pPr>
        <w:ind w:left="4320" w:hanging="180"/>
      </w:pPr>
    </w:lvl>
    <w:lvl w:ilvl="6" w:tplc="15512008" w:tentative="1">
      <w:start w:val="1"/>
      <w:numFmt w:val="decimal"/>
      <w:lvlText w:val="%7."/>
      <w:lvlJc w:val="left"/>
      <w:pPr>
        <w:ind w:left="5040" w:hanging="360"/>
      </w:pPr>
    </w:lvl>
    <w:lvl w:ilvl="7" w:tplc="15512008" w:tentative="1">
      <w:start w:val="1"/>
      <w:numFmt w:val="lowerLetter"/>
      <w:lvlText w:val="%8."/>
      <w:lvlJc w:val="left"/>
      <w:pPr>
        <w:ind w:left="5760" w:hanging="360"/>
      </w:pPr>
    </w:lvl>
    <w:lvl w:ilvl="8" w:tplc="1551200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861180">
    <w:multiLevelType w:val="hybridMultilevel"/>
    <w:lvl w:ilvl="0" w:tplc="268756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861180">
    <w:abstractNumId w:val="85861180"/>
  </w:num>
  <w:num w:numId="85861181">
    <w:abstractNumId w:val="858611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trackRevisions w:val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2D5D"/>
    <w:rsid w:val="001A2D5D"/>
    <w:rsid w:val="00205CAE"/>
    <w:rsid w:val="002141BA"/>
    <w:rsid w:val="004A3273"/>
    <w:rsid w:val="00E73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_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_DE" w:eastAsia="de_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A2D5D"/>
  </w:style>
  <w:style w:type="paragraph" w:styleId="Fuzeile">
    <w:name w:val="footer"/>
    <w:basedOn w:val="Standard"/>
    <w:link w:val="FuzeileZchn"/>
    <w:uiPriority w:val="99"/>
    <w:unhideWhenUsed/>
    <w:rsid w:val="001A2D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A2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Relationship Id="rId129907061" Type="http://schemas.openxmlformats.org/officeDocument/2006/relationships/numbering" Target="numbering.xml"/><Relationship Id="rId799918532" Type="http://schemas.openxmlformats.org/officeDocument/2006/relationships/comments" Target="comments.xml"/></Relationships>
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>WEKA Business Solutions GmbH</Company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2</cp:revision>
  <dcterms:created xsi:type="dcterms:W3CDTF">2015-05-12T09:10:00Z</dcterms:created>
  <dcterms:modified xsi:type="dcterms:W3CDTF">2015-05-12T09:16:00Z</dcterms:modified>
</cp:coreProperties>
</file>