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22046046" w:name="document"/>
    <w:bookmarkEnd w:id="22046046"/>
    <w:p/>
    <w:p>
      <w:pPr>
        <w:widowControl w:val="on"/>
        <w:pBdr/>
        <w:spacing w:before="0" w:after="280" w:line="240" w:lineRule="auto"/>
        <w:ind w:left="0" w:right="0"/>
        <w:jc w:val="left"/>
      </w:pPr>
      <w:r>
        <w:rPr>
          <w:rFonts w:ascii="Arial" w:hAnsi="Arial" w:eastAsia="Arial" w:cs="Arial"/>
          <w:color w:val="363A40"/>
          <w:sz w:val="24"/>
          <w:szCs w:val="24"/>
        </w:rPr>
        <w:t xml:space="preserve">Dokument-ID: 585594 | Claudia Sorgo - Albert
Scherzer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Kaufvertrag Wohnungseigentum</w:t>
      </w:r>
    </w:p>
    <w:p>
      <w:pPr>
        <w:widowControl w:val="on"/>
        <w:pBdr/>
        <w:spacing w:before="140" w:after="240" w:line="288" w:lineRule="auto"/>
        <w:ind w:left="0" w:right="0"/>
        <w:jc w:val="left"/>
      </w:pPr>
      <w:r>
        <w:rPr>
          <w:rFonts w:ascii="Arial" w:hAnsi="Arial" w:eastAsia="Arial" w:cs="Arial"/>
          <w:color w:val="000000"/>
          <w:sz w:val="20"/>
          <w:szCs w:val="20"/>
        </w:rPr>
        <w:t xml:space="preserve">abgeschlossen zwischen</w:t>
      </w:r>
    </w:p>
    <w:p>
      <w:pPr>
        <w:widowControl w:val="on"/>
        <w:pBdr/>
        <w:spacing w:before="140" w:after="240" w:line="288" w:lineRule="auto"/>
        <w:ind w:left="0" w:right="0"/>
        <w:jc w:val="left"/>
      </w:pPr>
      <w:r>
        <w:rPr>
          <w:rFonts w:ascii="Arial" w:hAnsi="Arial" w:eastAsia="Arial" w:cs="Arial"/>
          <w:color w:val="000000"/>
          <w:sz w:val="20"/>
          <w:szCs w:val="20"/>
        </w:rPr>
        <w:t xml:space="preserve">Herrn …</w:t>
      </w:r>
      <w:r>
        <w:rPr>
          <w:rFonts w:ascii="Arial" w:hAnsi="Arial" w:eastAsia="Arial" w:cs="Arial"/>
          <w:color w:val="000000"/>
          <w:sz w:val="20"/>
          <w:szCs w:val="20"/>
        </w:rPr>
        <w:br/>
        <w:t xml:space="preserve">geboren am …</w:t>
      </w:r>
      <w:r>
        <w:rPr>
          <w:rFonts w:ascii="Arial" w:hAnsi="Arial" w:eastAsia="Arial" w:cs="Arial"/>
          <w:color w:val="000000"/>
          <w:sz w:val="20"/>
          <w:szCs w:val="20"/>
        </w:rPr>
        <w:br/>
        <w:t xml:space="preserve">Beruf …</w:t>
      </w:r>
      <w:r>
        <w:rPr>
          <w:rFonts w:ascii="Arial" w:hAnsi="Arial" w:eastAsia="Arial" w:cs="Arial"/>
          <w:color w:val="000000"/>
          <w:sz w:val="20"/>
          <w:szCs w:val="20"/>
        </w:rPr>
        <w:br/>
        <w:t xml:space="preserve">wohnhaft in …</w:t>
      </w:r>
      <w:r>
        <w:rPr>
          <w:rFonts w:ascii="Arial" w:hAnsi="Arial" w:eastAsia="Arial" w:cs="Arial"/>
          <w:color w:val="000000"/>
          <w:sz w:val="20"/>
          <w:szCs w:val="20"/>
        </w:rPr>
        <w:br/>
        <w:t xml:space="preserve">als Verkäufer einerseits</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Frau …</w:t>
      </w:r>
      <w:r>
        <w:rPr>
          <w:rFonts w:ascii="Arial" w:hAnsi="Arial" w:eastAsia="Arial" w:cs="Arial"/>
          <w:color w:val="000000"/>
          <w:sz w:val="20"/>
          <w:szCs w:val="20"/>
        </w:rPr>
        <w:br/>
        <w:t xml:space="preserve">geboren am …</w:t>
      </w:r>
      <w:r>
        <w:rPr>
          <w:rFonts w:ascii="Arial" w:hAnsi="Arial" w:eastAsia="Arial" w:cs="Arial"/>
          <w:color w:val="000000"/>
          <w:sz w:val="20"/>
          <w:szCs w:val="20"/>
        </w:rPr>
        <w:br/>
        <w:t xml:space="preserve">Beruf …</w:t>
      </w:r>
      <w:r>
        <w:rPr>
          <w:rFonts w:ascii="Arial" w:hAnsi="Arial" w:eastAsia="Arial" w:cs="Arial"/>
          <w:color w:val="000000"/>
          <w:sz w:val="20"/>
          <w:szCs w:val="20"/>
        </w:rPr>
        <w:br/>
        <w:t xml:space="preserve">wohnhaft in …</w:t>
      </w:r>
      <w:r>
        <w:rPr>
          <w:rFonts w:ascii="Arial" w:hAnsi="Arial" w:eastAsia="Arial" w:cs="Arial"/>
          <w:color w:val="000000"/>
          <w:sz w:val="20"/>
          <w:szCs w:val="20"/>
        </w:rPr>
        <w:br/>
        <w:t xml:space="preserve">als Käuferin andererseits</w:t>
      </w:r>
    </w:p>
    <w:p>
      <w:pPr>
        <w:widowControl w:val="on"/>
        <w:pBdr/>
        <w:spacing w:before="140" w:after="240" w:line="288" w:lineRule="auto"/>
        <w:ind w:left="0" w:right="0"/>
        <w:jc w:val="left"/>
      </w:pPr>
      <w:r>
        <w:rPr>
          <w:rFonts w:ascii="Arial" w:hAnsi="Arial" w:eastAsia="Arial" w:cs="Arial"/>
          <w:color w:val="000000"/>
          <w:sz w:val="20"/>
          <w:szCs w:val="20"/>
        </w:rPr>
        <w:t xml:space="preserve">am heutigen Tage wie folgt:</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I.</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ist grundbücherlicher Alleineigentümer der
Liegenschaft EZ … KG … bestehend aus den Grundstücken</w:t>
      </w:r>
    </w:p>
    <w:p>
      <w:pPr>
        <w:numPr>
          <w:ilvl w:val="0"/>
          <w:numId w:val="95797965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 den GST-Nummern … eingetragen im GB</w:t>
      </w:r>
    </w:p>
    <w:p>
      <w:pPr>
        <w:numPr>
          <w:ilvl w:val="0"/>
          <w:numId w:val="95797965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 dem darauf befindlichen Zweifamilienhaus mit der
Liegenschaftsanschrift …</w:t>
      </w:r>
    </w:p>
    <w:p>
      <w:pPr>
        <w:widowControl w:val="on"/>
        <w:pBdr/>
        <w:spacing w:before="140" w:after="240" w:line="288" w:lineRule="auto"/>
        <w:ind w:left="0" w:right="0"/>
        <w:jc w:val="left"/>
      </w:pPr>
      <w:r>
        <w:rPr>
          <w:rFonts w:ascii="Arial" w:hAnsi="Arial" w:eastAsia="Arial" w:cs="Arial"/>
          <w:color w:val="000000"/>
          <w:sz w:val="20"/>
          <w:szCs w:val="20"/>
        </w:rPr>
        <w:t xml:space="preserve">In diesem Haus befinden sich zwei selbstständige Wohnungen, an
welchen Wohnungseigentum begründet werden soll.</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verkauft und übergibt einen Hälfteanteil an der im
Punkt I. dieses Vertrages näher bezeichneten Liegenschaft an die
Käuferin und diese kauft und übernimmt diesen Hälfteanteil, mit
welchen Anteilen nach Begründung von Wohnungseigentum dieser mit
der Wohnung Top Nr … untrennbar verbunden sein wird, mit allem
rechtlichen und tatsächlichen Zubehör und mit allen Rechten und
Pflichten, mit denen der Verkäufer diesen bisher besessen und
benützt hat beziehungsweise zu besitzen und zu benützen berechtigt
war, um den beiderseits ausdrücklich vereinbarten Kaufpreis von
EUR … (in Worten: … Euro).</w:t>
      </w:r>
    </w:p>
    <w:p>
      <w:pPr>
        <w:widowControl w:val="on"/>
        <w:pBdr/>
        <w:spacing w:before="140" w:after="240" w:line="288" w:lineRule="auto"/>
        <w:ind w:left="0" w:right="0"/>
        <w:jc w:val="left"/>
      </w:pPr>
      <w:r>
        <w:rPr>
          <w:rFonts w:ascii="Arial" w:hAnsi="Arial" w:eastAsia="Arial" w:cs="Arial"/>
          <w:color w:val="000000"/>
          <w:sz w:val="20"/>
          <w:szCs w:val="20"/>
        </w:rPr>
        <w:t xml:space="preserve">Der gesamte Kaufpreis von EUR … (in Worten: … Euro) wird
beim Vertragserrichter … Rechtsanwalt in … anlässlich der
Vertragsunterfertigung bar mit dem einseitig unwiderruflichen
Treuhandauftrag erlegt, diesen an die Verkäuferin erst dann
auszubezahlen, wenn die Rangordnung für die beabsichtigte
Veräußerung sowie die Anmerkung der Einräumung von Wohnungseigentum
im Grundbuch angemerkt ist und die Liegenschaftsanteile lastenfrei
sind.</w:t>
      </w:r>
    </w:p>
    <w:p>
      <w:pPr>
        <w:widowControl w:val="on"/>
        <w:pBdr/>
        <w:spacing w:before="140" w:after="240" w:line="288" w:lineRule="auto"/>
        <w:ind w:left="0" w:right="0"/>
        <w:jc w:val="left"/>
      </w:pPr>
      <w:r>
        <w:rPr>
          <w:rFonts w:ascii="Arial" w:hAnsi="Arial" w:eastAsia="Arial" w:cs="Arial"/>
          <w:color w:val="000000"/>
          <w:sz w:val="20"/>
          <w:szCs w:val="20"/>
        </w:rPr>
        <w:t xml:space="preserve">Die Zinsen aus dem Kaufpreiserlag gebühren der Verkäuferin.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übernimmt für eine bestimmte Beschaffenheit, ein
genaues Flächenausmaß oder ein besonderes Ertragnis der
kaufgegenständlichen Liegenschaftsanteile keine Gewähr, wohl aber
dafür, dass diese Liegenschaftsanteile vollkommen satz- und
lastenfrei in den Besitz und Genuss der Käuferin übergehen.</w:t>
      </w:r>
    </w:p>
    <w:p>
      <w:pPr>
        <w:widowControl w:val="on"/>
        <w:pBdr/>
        <w:spacing w:before="140" w:after="240" w:line="288" w:lineRule="auto"/>
        <w:ind w:left="0" w:right="0"/>
        <w:jc w:val="left"/>
      </w:pPr>
      <w:r>
        <w:rPr>
          <w:rFonts w:ascii="Arial" w:hAnsi="Arial" w:eastAsia="Arial" w:cs="Arial"/>
          <w:color w:val="000000"/>
          <w:sz w:val="20"/>
          <w:szCs w:val="20"/>
        </w:rPr>
        <w:t xml:space="preserve">Bis zur Begründung von Wohnungseigentum räumt der Verkäufer der
Käuferin das alleinige Nutzungsrecht an der Wohnung Top Nr …
ein.</w:t>
      </w:r>
    </w:p>
    <w:p>
      <w:pPr>
        <w:widowControl w:val="on"/>
        <w:pBdr/>
        <w:spacing w:before="140" w:after="240" w:line="288" w:lineRule="auto"/>
        <w:ind w:left="0" w:right="0"/>
        <w:jc w:val="left"/>
      </w:pPr>
      <w:r>
        <w:rPr>
          <w:rFonts w:ascii="Arial" w:hAnsi="Arial" w:eastAsia="Arial" w:cs="Arial"/>
          <w:color w:val="000000"/>
          <w:sz w:val="20"/>
          <w:szCs w:val="20"/>
        </w:rPr>
        <w:t xml:space="preserve">Die Vertragsteile verzichten einvernehmlich bis zur Begründung
von Wohnungseigentum im Grundbuch auf eine Teilungsklage nach
§ 830 ABGB (Allgemeines Bürgerliches Gesetzbuch).</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w:t>
      </w:r>
    </w:p>
    <w:p>
      <w:pPr>
        <w:widowControl w:val="on"/>
        <w:pBdr/>
        <w:spacing w:before="140" w:after="240" w:line="288" w:lineRule="auto"/>
        <w:ind w:left="0" w:right="0"/>
        <w:jc w:val="left"/>
      </w:pPr>
      <w:r>
        <w:rPr>
          <w:rFonts w:ascii="Arial" w:hAnsi="Arial" w:eastAsia="Arial" w:cs="Arial"/>
          <w:color w:val="000000"/>
          <w:sz w:val="20"/>
          <w:szCs w:val="20"/>
        </w:rPr>
        <w:t xml:space="preserve">Für den Fall, dass zur Begründung von Wohnungseigentum die
Miteigentumsanteile abgeändert werden müssen, verpflichten sich die
Vertragsparteien für sich und ihre Rechtsnachfolger, die Abänderung
unentgeltlich durchführen zu lassen. Die Vertragsparteien
verpflichten sich hiermit ausdrücklich, diese Verpflichtung auf
ihre etwaigen Rechtsnachfolger zu überbinden.</w:t>
      </w:r>
    </w:p>
    <w:p>
      <w:pPr>
        <w:widowControl w:val="on"/>
        <w:pBdr/>
        <w:spacing w:before="140" w:after="240" w:line="288" w:lineRule="auto"/>
        <w:ind w:left="0" w:right="0"/>
        <w:jc w:val="left"/>
      </w:pPr>
      <w:r>
        <w:rPr>
          <w:rFonts w:ascii="Arial" w:hAnsi="Arial" w:eastAsia="Arial" w:cs="Arial"/>
          <w:color w:val="000000"/>
          <w:sz w:val="20"/>
          <w:szCs w:val="20"/>
        </w:rPr>
        <w:t xml:space="preserve">Die Vertragsteile verpflichten sich weiters, die zur Begründung
von Wohnungseigentum erforderlichen Urkunden unverzüglich in der
dafür vorgeschriebenen Form zu unterfertigen und alles zu
unternehmen, damit das Wohnungseigentum möglichst bald im Grundbuch
einverleibt werden kann.</w:t>
      </w:r>
    </w:p>
    <w:p>
      <w:pPr>
        <w:widowControl w:val="on"/>
        <w:pBdr/>
        <w:spacing w:before="140" w:after="240" w:line="288" w:lineRule="auto"/>
        <w:ind w:left="0" w:right="0"/>
        <w:jc w:val="left"/>
      </w:pPr>
      <w:r>
        <w:rPr>
          <w:rFonts w:ascii="Arial" w:hAnsi="Arial" w:eastAsia="Arial" w:cs="Arial"/>
          <w:color w:val="000000"/>
          <w:sz w:val="20"/>
          <w:szCs w:val="20"/>
        </w:rPr>
        <w:t xml:space="preserve">Festgestellt wird in diesem Zusammenhang, dass bereits Herr DI …
mit der Erstattung eines Gutachtens für die Berechnung der
Nutzwerte, im Sinne der Bestimmung nach § 9 Abs 1 WEG
2002, der beiden selbstständigen Wohnungen im
vertragsgegenständlichen Haus mit der Anschrift … beauftragt
wurde.</w:t>
      </w:r>
    </w:p>
    <w:p>
      <w:pPr>
        <w:widowControl w:val="on"/>
        <w:pBdr/>
        <w:spacing w:before="140" w:after="240" w:line="288" w:lineRule="auto"/>
        <w:ind w:left="0" w:right="0"/>
        <w:jc w:val="left"/>
      </w:pPr>
      <w:r>
        <w:rPr>
          <w:rFonts w:ascii="Arial" w:hAnsi="Arial" w:eastAsia="Arial" w:cs="Arial"/>
          <w:color w:val="000000"/>
          <w:sz w:val="20"/>
          <w:szCs w:val="20"/>
        </w:rPr>
        <w:t xml:space="preserve">Bis zur Begründung von Wohnungseigentum wird vereinbart, die
Einräumung von Wohnungseigentum an Top Nr … für … geboren am …
im Grundbuch anzumerken.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w:t>
      </w:r>
    </w:p>
    <w:p>
      <w:pPr>
        <w:widowControl w:val="on"/>
        <w:pBdr/>
        <w:spacing w:before="140" w:after="240" w:line="288" w:lineRule="auto"/>
        <w:ind w:left="0" w:right="0"/>
        <w:jc w:val="left"/>
      </w:pPr>
      <w:r>
        <w:rPr>
          <w:rFonts w:ascii="Arial" w:hAnsi="Arial" w:eastAsia="Arial" w:cs="Arial"/>
          <w:color w:val="000000"/>
          <w:sz w:val="20"/>
          <w:szCs w:val="20"/>
        </w:rPr>
        <w:t xml:space="preserve">Die Übergabe und Übernahme des kaufgegenständlichen
Liegenschaftsanteiles erfolgt mit Tag der Unterfertigung dieses
Vertrages, welcher auch als Stichtag für die Verrechnung von Nutzen
und Lasten gilt. Von diesem Tag an gehen auch Gefahr und Zufall auf
die Käuferin über.</w:t>
      </w:r>
    </w:p>
    <w:p>
      <w:pPr>
        <w:widowControl w:val="on"/>
        <w:pBdr/>
        <w:spacing w:before="0" w:after="105" w:line="288" w:lineRule="auto"/>
        <w:ind w:left="0" w:right="0"/>
        <w:jc w:val="left"/>
      </w:pPr>
      <w:r>
        <w:rPr>
          <w:rFonts w:ascii="Arial" w:hAnsi="Arial" w:eastAsia="Arial" w:cs="Arial"/>
          <w:b/>
          <w:bCs/>
          <w:color w:val="277DB9"/>
          <w:sz w:val="25"/>
          <w:szCs w:val="25"/>
        </w:rPr>
        <w:t xml:space="preserve">Variante:</w:t>
      </w:r>
    </w:p>
    <w:p>
      <w:pPr>
        <w:widowControl w:val="on"/>
        <w:pBdr/>
        <w:spacing w:before="140" w:after="240" w:line="288" w:lineRule="auto"/>
        <w:ind w:left="0" w:right="0"/>
        <w:jc w:val="left"/>
      </w:pPr>
      <w:r>
        <w:rPr>
          <w:rFonts w:ascii="Arial" w:hAnsi="Arial" w:eastAsia="Arial" w:cs="Arial"/>
          <w:color w:val="277DB9"/>
          <w:sz w:val="20"/>
          <w:szCs w:val="20"/>
        </w:rPr>
        <w:t xml:space="preserve">Ein allfälliges Guthaben bzw ein allfälliger Rückstand der
verkaufenden Partei aus einem Reparatur- bzw Instandhaltungsfonds
oder aus einer Betriebskostenabrechnung steht ohne weitere
Verrechnung der kaufenden Partei zu bzw geht ohne weitere
Verrechnung zu ihren Lasten.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w:t>
      </w:r>
    </w:p>
    <w:p>
      <w:pPr>
        <w:widowControl w:val="on"/>
        <w:pBdr/>
        <w:spacing w:before="140" w:after="240" w:line="288" w:lineRule="auto"/>
        <w:ind w:left="0" w:right="0"/>
        <w:jc w:val="left"/>
      </w:pPr>
      <w:r>
        <w:rPr>
          <w:rFonts w:ascii="Arial" w:hAnsi="Arial" w:eastAsia="Arial" w:cs="Arial"/>
          <w:color w:val="000000"/>
          <w:sz w:val="20"/>
          <w:szCs w:val="20"/>
        </w:rPr>
        <w:t xml:space="preserve">Die mit der Errichtung und Durchführung dieses Kaufvertrages
verbundenen Kosten und Abgaben trägt die Käuferin, welche auch den
Auftrag zur Vertragserrichtung erteilt hat.</w:t>
      </w:r>
    </w:p>
    <w:p>
      <w:pPr>
        <w:widowControl w:val="on"/>
        <w:pBdr/>
        <w:spacing w:before="140" w:after="240" w:line="288" w:lineRule="auto"/>
        <w:ind w:left="0" w:right="0"/>
        <w:jc w:val="left"/>
      </w:pPr>
      <w:r>
        <w:rPr>
          <w:rFonts w:ascii="Arial" w:hAnsi="Arial" w:eastAsia="Arial" w:cs="Arial"/>
          <w:color w:val="000000"/>
          <w:sz w:val="20"/>
          <w:szCs w:val="20"/>
        </w:rPr>
        <w:t xml:space="preserve">Die Kosten der Begründung von Wohnungseigentum werden von den
Liegenschaftsmiteigentümern im Verhältnis ihrer aufgrund der
Nutzwertfestsetzung berichtigten Miteigentumsanteile getragen.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w:t>
      </w:r>
    </w:p>
    <w:p>
      <w:pPr>
        <w:widowControl w:val="on"/>
        <w:pBdr/>
        <w:spacing w:before="140" w:after="240" w:line="288" w:lineRule="auto"/>
        <w:ind w:left="0" w:right="0"/>
        <w:jc w:val="left"/>
      </w:pPr>
      <w:r>
        <w:rPr>
          <w:rFonts w:ascii="Arial" w:hAnsi="Arial" w:eastAsia="Arial" w:cs="Arial"/>
          <w:color w:val="000000"/>
          <w:sz w:val="20"/>
          <w:szCs w:val="20"/>
        </w:rPr>
        <w:t xml:space="preserve">Die Vertragsteile erklären ausdrücklich, den wahren Wert des
Kaufobjektes zu kennen und um den im Kaufvertrag vereinbarten
Kaufpreis auch dann verkaufen und kaufen zu wollen, wenn es sich um
unverhältnismäßige Werte handeln sollte.</w:t>
      </w:r>
    </w:p>
    <w:p>
      <w:pPr>
        <w:widowControl w:val="on"/>
        <w:pBdr/>
        <w:spacing w:before="140" w:after="240" w:line="288" w:lineRule="auto"/>
        <w:ind w:left="0" w:right="0"/>
        <w:jc w:val="left"/>
      </w:pPr>
      <w:r>
        <w:rPr>
          <w:rFonts w:ascii="Arial" w:hAnsi="Arial" w:eastAsia="Arial" w:cs="Arial"/>
          <w:color w:val="000000"/>
          <w:sz w:val="20"/>
          <w:szCs w:val="20"/>
        </w:rPr>
        <w:t xml:space="preserve">Ein Energieausweis gemäß Energieausweis-Vorlage-Gesetzes (EAVG)
wurde dem Käufer bereits vor Vertragsunterzeichnung übergeben.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nimmt zur Kenntnis, dass der Kaufpreis der
Immobilienertragsteuer nach dem Einkommensteuergesetz unterliegt.
Er wurde darüber aufgeklärt, dass er selbst verpflichtet ist, für
die Berechnung und Abfuhr dieser Steuer zu sorgen und wird ihm
empfohlen, diesbezüglich die Leistungen eines Steuerberaters in
Anspruch zu nehmen. Es wird ausdrücklich festgehalten, dass der
Vertragserrichter die Immobilienertragsteuer nicht selbst berechnet
und auch nicht aus dem Kaufpreis abführt und diesbezüglich auch
keine Beratung erteilt. Der Verkäufer bestätigt, sich im Vorfeld
selbst ausreichend Informationen eingeholt zu haben und sich der
steuerlichen Folgen dieses Vertragsabschlusses voll bewusst zu
sein.</w:t>
      </w:r>
    </w:p>
    <w:p>
      <w:pPr>
        <w:widowControl w:val="on"/>
        <w:pBdr/>
        <w:spacing w:before="140" w:after="240" w:line="288" w:lineRule="auto"/>
        <w:ind w:left="0" w:right="0"/>
        <w:jc w:val="left"/>
      </w:pPr>
      <w:r>
        <w:rPr>
          <w:rFonts w:ascii="Arial" w:hAnsi="Arial" w:eastAsia="Arial" w:cs="Arial"/>
          <w:color w:val="000000"/>
          <w:sz w:val="20"/>
          <w:szCs w:val="20"/>
        </w:rPr>
        <w:t xml:space="preserve">Die Verkäufer erklären, dass gegenständliche Kaufgegenstände
weder zur Gänze noch teilweise als Hauptwohnsitz gedient haben,
weswegen ein Tatbestand zur Befreiung von der ImmoESt nicht
vorliegt.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erklären sohin ihre ausdrückliche
Einwilligung, dass aufgrund dieser Urkunde ohne ihr weiteres Wissen
und Einvernehmen, ob der ihr gehörigen Liegenschaft EZ … KG …
einkommend im GB des BG … ob einem Hälfteanteil das Eigentumsrecht
für:</w:t>
      </w:r>
    </w:p>
    <w:p>
      <w:pPr>
        <w:widowControl w:val="on"/>
        <w:pBdr/>
        <w:spacing w:before="140" w:after="240" w:line="288" w:lineRule="auto"/>
        <w:ind w:left="0" w:right="0"/>
        <w:jc w:val="left"/>
      </w:pPr>
      <w:r>
        <w:rPr>
          <w:rFonts w:ascii="Arial" w:hAnsi="Arial" w:eastAsia="Arial" w:cs="Arial"/>
          <w:color w:val="000000"/>
          <w:sz w:val="20"/>
          <w:szCs w:val="20"/>
        </w:rPr>
        <w:t xml:space="preserve">Name …</w:t>
      </w:r>
      <w:r>
        <w:rPr>
          <w:rFonts w:ascii="Arial" w:hAnsi="Arial" w:eastAsia="Arial" w:cs="Arial"/>
          <w:color w:val="000000"/>
          <w:sz w:val="20"/>
          <w:szCs w:val="20"/>
        </w:rPr>
        <w:br/>
        <w:t xml:space="preserve">geboren am …</w:t>
      </w:r>
    </w:p>
    <w:p>
      <w:pPr>
        <w:widowControl w:val="on"/>
        <w:pBdr/>
        <w:spacing w:before="140" w:after="240" w:line="288" w:lineRule="auto"/>
        <w:ind w:left="0" w:right="0"/>
        <w:jc w:val="left"/>
      </w:pPr>
      <w:r>
        <w:rPr>
          <w:rFonts w:ascii="Arial" w:hAnsi="Arial" w:eastAsia="Arial" w:cs="Arial"/>
          <w:color w:val="000000"/>
          <w:sz w:val="20"/>
          <w:szCs w:val="20"/>
        </w:rPr>
        <w:t xml:space="preserve">einverleibt werden kann.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beglaubigte Unterschriften sämtlicher Vertragsparteien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Aufsandungserklärungen (siehe Punkt IX) sind schriftliche
Erklärungen des Eigentümers, dass dieser mit der Eintragung
(Einverleibung, Verbücherung) im Grundbuch einverstanden ist. Diese
Erklärung muss von der Person abgegeben werden, deren Recht
beschränkt, belastet, aufgehoben oder übertragen werden soll. Fehlt
diese Aufsandungserklärung, ist eine Eintragung des Eigentums im
Grundbuch nicht möglich. Zufolge § 32 Abs 2 GBG muss die
ausdrückliche Erklärung desjenigen, dessen Recht beschränkt,
belastet, aufgehoben oder auf eine andere Person übertragen werden
soll, dass er in die Einverleibung einwilligt, in welcher Urkunde
auch immer sie abgegeben wird, die Voraussetzungen des § 31
Abs 1 GBG erfüllen, also gerichtlich oder notariell beglaubigt
durch den Verpflichteten unterfertigt sein.</w:t>
      </w:r>
    </w:p>
    <w:p>
      <w:pPr>
        <w:widowControl w:val="on"/>
        <w:pBdr/>
        <w:spacing w:before="140" w:after="240" w:line="288" w:lineRule="auto"/>
        <w:ind w:left="0" w:right="0"/>
        <w:jc w:val="left"/>
      </w:pPr>
      <w:r>
        <w:rPr>
          <w:rFonts w:ascii="Arial" w:hAnsi="Arial" w:eastAsia="Arial" w:cs="Arial"/>
          <w:color w:val="000000"/>
          <w:sz w:val="20"/>
          <w:szCs w:val="20"/>
        </w:rPr>
        <w:t xml:space="preserve">Die Unterfertigung des durch die Einverleibung Berechtigten
bedarf einmal einer gerichtlichen oder notariellen Beglaubigung,
wobei diese entweder in der Titelurkunde (Vertrag), einer eigenen
Aufsandungserklärung oder auch erst im Grundbuchsgesuch abgegeben
werden kann (siehe OGH 07.07.2011, 5 Ob 114/11t).</w:t>
      </w:r>
    </w:p>
    <w:p>
      <w:pPr>
        <w:widowControl w:val="on"/>
        <w:pBdr/>
        <w:spacing w:before="140" w:after="240" w:line="288" w:lineRule="auto"/>
        <w:ind w:left="0" w:right="0"/>
        <w:jc w:val="left"/>
      </w:pPr>
      <w:r>
        <w:rPr>
          <w:rFonts w:ascii="Arial" w:hAnsi="Arial" w:eastAsia="Arial" w:cs="Arial"/>
          <w:color w:val="000000"/>
          <w:sz w:val="20"/>
          <w:szCs w:val="20"/>
        </w:rPr>
        <w:t xml:space="preserve">Gem § 32 Abs 1 WEG sind die Aufwendungen für die
Liegenschaft einschließlich der Beiträge der Rücklage von den
Wohnungseigentümern nach dem Verhältnis ihrer Miteigentumsanteile
bei Ende der Abrechnungsperiode zu tragen. Dies bedeutet, dass für
die bis zur Verbücherung des jeweiligen Eigentumsrechts geltend
gemachten Betriebs- und Heizkosten der bisherige Eigentümer, nach
der Verbücherung der neue Eigentümer zahlungspflichtig ist. Findet
ein Eigentümerwechsel statt, ist der Zeitpunkt der Einverleibung im
Grundbuch maßgebend. Dies gilt unabhängig vom Zeitpunkt der
Veräußerung und dem zwischen Veräußerer und Erwerber
(gegebenenfalls) festgelegten Stichtag. Dies betrifft allerdings
nur die Haftung nach außen und nicht die interne
Kostentragungspflicht, da meist andere vertragliche Vereinbarungen
erfolgen. Vorschreibungen richten sich somit an den aktuellen
Eigentümer laut Grundbuch. Der betroffene Wohnungseigentümer wird
sich üblicherweise bei seinem Rechtsvorgänger regressieren
können.</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797965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3313244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6604079">
    <w:multiLevelType w:val="hybridMultilevel"/>
    <w:lvl w:ilvl="0" w:tplc="51338669">
      <w:start w:val="1"/>
      <w:numFmt w:val="decimal"/>
      <w:lvlText w:val="%1."/>
      <w:lvlJc w:val="left"/>
      <w:pPr>
        <w:ind w:left="720" w:hanging="360"/>
      </w:pPr>
    </w:lvl>
    <w:lvl w:ilvl="1" w:tplc="51338669" w:tentative="1">
      <w:start w:val="1"/>
      <w:numFmt w:val="lowerLetter"/>
      <w:lvlText w:val="%2."/>
      <w:lvlJc w:val="left"/>
      <w:pPr>
        <w:ind w:left="1440" w:hanging="360"/>
      </w:pPr>
    </w:lvl>
    <w:lvl w:ilvl="2" w:tplc="51338669" w:tentative="1">
      <w:start w:val="1"/>
      <w:numFmt w:val="lowerRoman"/>
      <w:lvlText w:val="%3."/>
      <w:lvlJc w:val="right"/>
      <w:pPr>
        <w:ind w:left="2160" w:hanging="180"/>
      </w:pPr>
    </w:lvl>
    <w:lvl w:ilvl="3" w:tplc="51338669" w:tentative="1">
      <w:start w:val="1"/>
      <w:numFmt w:val="decimal"/>
      <w:lvlText w:val="%4."/>
      <w:lvlJc w:val="left"/>
      <w:pPr>
        <w:ind w:left="2880" w:hanging="360"/>
      </w:pPr>
    </w:lvl>
    <w:lvl w:ilvl="4" w:tplc="51338669" w:tentative="1">
      <w:start w:val="1"/>
      <w:numFmt w:val="lowerLetter"/>
      <w:lvlText w:val="%5."/>
      <w:lvlJc w:val="left"/>
      <w:pPr>
        <w:ind w:left="3600" w:hanging="360"/>
      </w:pPr>
    </w:lvl>
    <w:lvl w:ilvl="5" w:tplc="51338669" w:tentative="1">
      <w:start w:val="1"/>
      <w:numFmt w:val="lowerRoman"/>
      <w:lvlText w:val="%6."/>
      <w:lvlJc w:val="right"/>
      <w:pPr>
        <w:ind w:left="4320" w:hanging="180"/>
      </w:pPr>
    </w:lvl>
    <w:lvl w:ilvl="6" w:tplc="51338669" w:tentative="1">
      <w:start w:val="1"/>
      <w:numFmt w:val="decimal"/>
      <w:lvlText w:val="%7."/>
      <w:lvlJc w:val="left"/>
      <w:pPr>
        <w:ind w:left="5040" w:hanging="360"/>
      </w:pPr>
    </w:lvl>
    <w:lvl w:ilvl="7" w:tplc="51338669" w:tentative="1">
      <w:start w:val="1"/>
      <w:numFmt w:val="lowerLetter"/>
      <w:lvlText w:val="%8."/>
      <w:lvlJc w:val="left"/>
      <w:pPr>
        <w:ind w:left="5760" w:hanging="360"/>
      </w:pPr>
    </w:lvl>
    <w:lvl w:ilvl="8" w:tplc="51338669" w:tentative="1">
      <w:start w:val="1"/>
      <w:numFmt w:val="lowerRoman"/>
      <w:lvlText w:val="%9."/>
      <w:lvlJc w:val="right"/>
      <w:pPr>
        <w:ind w:left="6480" w:hanging="180"/>
      </w:pPr>
    </w:lvl>
  </w:abstractNum>
  <w:abstractNum w:abstractNumId="96604078">
    <w:multiLevelType w:val="hybridMultilevel"/>
    <w:lvl w:ilvl="0" w:tplc="391248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604078">
    <w:abstractNumId w:val="96604078"/>
  </w:num>
  <w:num w:numId="96604079">
    <w:abstractNumId w:val="96604079"/>
  </w:num>
  <w:num w:numId="33132449">
    <w:abstractNumId w:val="33132449"/>
  </w:num>
  <w:num w:numId="957979654">
    <w:abstractNumId w:val="95797965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941881095" Type="http://schemas.openxmlformats.org/officeDocument/2006/relationships/numbering" Target="numbering.xml"/><Relationship Id="rId143271345"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