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2076176" w:name="document"/>
    <w:bookmarkEnd w:id="72076176"/>
    <w:p/>
    <w:p>
      <w:pPr>
        <w:widowControl w:val="on"/>
        <w:pBdr/>
        <w:spacing w:before="0" w:after="280" w:line="240" w:lineRule="auto"/>
        <w:ind w:left="0" w:right="0"/>
        <w:jc w:val="left"/>
      </w:pPr>
      <w:r>
        <w:rPr>
          <w:rFonts w:ascii="Arial" w:hAnsi="Arial" w:eastAsia="Arial" w:cs="Arial"/>
          <w:color w:val="363A40"/>
          <w:sz w:val="24"/>
          <w:szCs w:val="24"/>
        </w:rPr>
        <w:t xml:space="preserve">Dokument-ID: 585594 | Claudia Sorgo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Herrn …</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Beruf …</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als Verkäufer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Frau …</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Beruf …</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als Käuferin andererseits</w:t>
      </w:r>
    </w:p>
    <w:p>
      <w:pPr>
        <w:widowControl w:val="on"/>
        <w:pBdr/>
        <w:spacing w:before="140" w:after="240" w:line="288" w:lineRule="auto"/>
        <w:ind w:left="0" w:right="0"/>
        <w:jc w:val="left"/>
      </w:pPr>
      <w:r>
        <w:rPr>
          <w:rFonts w:ascii="Arial" w:hAnsi="Arial" w:eastAsia="Arial" w:cs="Arial"/>
          <w:color w:val="000000"/>
          <w:sz w:val="20"/>
          <w:szCs w:val="20"/>
        </w:rPr>
        <w:t xml:space="preserve">am heutigen Tage 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ist grundbücherlicher Alleineigentümer der
Liegenschaft EZ … KG … bestehend aus den Grundstücken</w:t>
      </w:r>
    </w:p>
    <w:p>
      <w:pPr>
        <w:numPr>
          <w:ilvl w:val="0"/>
          <w:numId w:val="5220773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den GST-Nummern … eingetragen im GB</w:t>
      </w:r>
    </w:p>
    <w:p>
      <w:pPr>
        <w:numPr>
          <w:ilvl w:val="0"/>
          <w:numId w:val="5220773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dem darauf befindlichen Zweifamilienhaus mit der
Liegenschaftsanschrift …</w:t>
      </w:r>
    </w:p>
    <w:p>
      <w:pPr>
        <w:widowControl w:val="on"/>
        <w:pBdr/>
        <w:spacing w:before="140" w:after="240" w:line="288" w:lineRule="auto"/>
        <w:ind w:left="0" w:right="0"/>
        <w:jc w:val="left"/>
      </w:pPr>
      <w:r>
        <w:rPr>
          <w:rFonts w:ascii="Arial" w:hAnsi="Arial" w:eastAsia="Arial" w:cs="Arial"/>
          <w:color w:val="000000"/>
          <w:sz w:val="20"/>
          <w:szCs w:val="20"/>
        </w:rPr>
        <w:t xml:space="preserve">In diesem Haus befinden sich zwei selbstständige Wohnungen, an
welchen Wohnungseigentum begründet werden soll.</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verkauft und übergibt einen Hälfteanteil an der im
Punkt I. dieses Vertrages näher bezeichneten Liegenschaft an die
Käuferin und diese kauft und übernimmt diesen Hälfteanteil, mit
welchen Anteilen nach Begründung von Wohnungseigentum dieser mit
der Wohnung Top Nr … untrennbar verbunden sein wird, mit allem
rechtlichen und tatsächlichen Zubehör und mit allen Rechten und
Pflichten, mit denen der Verkäufer diesen bisher besessen und
benützt hat beziehungsweise zu besitzen und zu benützen berechtigt
war, um den beiderseits ausdrücklich vereinbarten Kaufpreis von
EUR … (in Worten: … Euro).</w:t>
      </w:r>
    </w:p>
    <w:p>
      <w:pPr>
        <w:widowControl w:val="on"/>
        <w:pBdr/>
        <w:spacing w:before="140" w:after="240" w:line="288" w:lineRule="auto"/>
        <w:ind w:left="0" w:right="0"/>
        <w:jc w:val="left"/>
      </w:pPr>
      <w:r>
        <w:rPr>
          <w:rFonts w:ascii="Arial" w:hAnsi="Arial" w:eastAsia="Arial" w:cs="Arial"/>
          <w:color w:val="000000"/>
          <w:sz w:val="20"/>
          <w:szCs w:val="20"/>
        </w:rPr>
        <w:t xml:space="preserve">Der gesamte Kaufpreis von EUR … (in Worten: … Euro) wird
beim Vertragserrichter … Rechtsanwalt in … anlässlich der
Vertragsunterfertigung bar mit dem einseitig unwiderruflichen
Treuhandauftrag erlegt, diesen an die Verkäuferin erst dann
auszubezahlen, wenn die Rangordnung für die beabsichtigte
Veräußerung sowie die Anmerkung der Einräumung von Wohnungseigentum
im Grundbuch angemerkt ist und die Liegenschaftsanteile lastenfrei
sind.</w:t>
      </w:r>
    </w:p>
    <w:p>
      <w:pPr>
        <w:widowControl w:val="on"/>
        <w:pBdr/>
        <w:spacing w:before="140" w:after="240" w:line="288" w:lineRule="auto"/>
        <w:ind w:left="0" w:right="0"/>
        <w:jc w:val="left"/>
      </w:pPr>
      <w:r>
        <w:rPr>
          <w:rFonts w:ascii="Arial" w:hAnsi="Arial" w:eastAsia="Arial" w:cs="Arial"/>
          <w:color w:val="000000"/>
          <w:sz w:val="20"/>
          <w:szCs w:val="20"/>
        </w:rPr>
        <w:t xml:space="preserve">Die Zinsen aus dem Kaufpreiserlag gebühren der Verkäuferin.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übernimmt für eine bestimmte Beschaffenheit, ein
genaues Flächenausmaß oder ein besonderes Ertragnis der
kaufgegenständlichen Liegenschaftsanteile keine Gewähr, wohl aber
dafür, dass diese Liegenschaftsanteile vollkommen satz- und
lastenfrei in den Besitz und Genuss der Käuferin übergehen.</w:t>
      </w:r>
    </w:p>
    <w:p>
      <w:pPr>
        <w:widowControl w:val="on"/>
        <w:pBdr/>
        <w:spacing w:before="140" w:after="240" w:line="288" w:lineRule="auto"/>
        <w:ind w:left="0" w:right="0"/>
        <w:jc w:val="left"/>
      </w:pPr>
      <w:r>
        <w:rPr>
          <w:rFonts w:ascii="Arial" w:hAnsi="Arial" w:eastAsia="Arial" w:cs="Arial"/>
          <w:color w:val="000000"/>
          <w:sz w:val="20"/>
          <w:szCs w:val="20"/>
        </w:rPr>
        <w:t xml:space="preserve">Bis zur Begründung von Wohnungseigentum räumt der Verkäufer der
Käuferin das alleinige Nutzungsrecht an der Wohnung Top Nr …
ein.</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verzichten einvernehmlich bis zur Begründung
von Wohnungseigentum im Grundbuch auf eine Teilungsklage nach
§ 830 ABGB (Allgemeines Bürgerliches Gesetzbuch).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dass zur Begründung von Wohnungseigentum die
Miteigentumsanteile abgeändert werden müssen, verpflichten sich die
Vertragsparteien für sich und ihre Rechtsnachfolger, die Abänderung
unentgeltlich durchführen zu lassen. Die Vertragsparteien
verpflichten sich hiermit ausdrücklich, diese Verpflichtung auf
ihre etwaigen Rechtsnachfolger zu überbinden.</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verpflichten sich weiters, die zur Begründung
von Wohnungseigentum erforderlichen Urkunden unverzüglich in der
dafür vorgeschriebenen Form zu unterfertigen und alles zu
unternehmen, damit das Wohnungseigentum möglichst bald im Grundbuch
einverleibt werden kann.</w:t>
      </w:r>
    </w:p>
    <w:p>
      <w:pPr>
        <w:widowControl w:val="on"/>
        <w:pBdr/>
        <w:spacing w:before="140" w:after="240" w:line="288" w:lineRule="auto"/>
        <w:ind w:left="0" w:right="0"/>
        <w:jc w:val="left"/>
      </w:pPr>
      <w:r>
        <w:rPr>
          <w:rFonts w:ascii="Arial" w:hAnsi="Arial" w:eastAsia="Arial" w:cs="Arial"/>
          <w:color w:val="000000"/>
          <w:sz w:val="20"/>
          <w:szCs w:val="20"/>
        </w:rPr>
        <w:t xml:space="preserve">Festgestellt wird in diesem Zusammenhang, dass bereits Herr DI …
mit der Erstattung eines Gutachtens für die Berechnung der
Nutzwerte, im Sinne der Bestimmung nach § 9 Abs 1 WEG
2002, der beiden selbstständigen Wohnungen im
vertragsgegenständlichen Haus mit der Anschrift … beauftragt
wurde.</w:t>
      </w:r>
    </w:p>
    <w:p>
      <w:pPr>
        <w:widowControl w:val="on"/>
        <w:pBdr/>
        <w:spacing w:before="140" w:after="240" w:line="288" w:lineRule="auto"/>
        <w:ind w:left="0" w:right="0"/>
        <w:jc w:val="left"/>
      </w:pPr>
      <w:r>
        <w:rPr>
          <w:rFonts w:ascii="Arial" w:hAnsi="Arial" w:eastAsia="Arial" w:cs="Arial"/>
          <w:color w:val="000000"/>
          <w:sz w:val="20"/>
          <w:szCs w:val="20"/>
        </w:rPr>
        <w:t xml:space="preserve">Bis zur Begründung von Wohnungseigentum wird vereinbart, die
Einräumung von Wohnungseigentum an Top Nr … für … geboren am …
im Grundbuch anzumerken.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Übernahme des kaufgegenständlichen
Liegenschaftsanteiles erfolgt mit Tag der Unterfertigung dieses
Vertrages, welcher auch als Stichtag für die Verrechnung von Nutzen
und Lasten gilt. Von diesem Tag an gehen auch Gefahr und Zufall auf
die Käuferin über.</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Ein allfälliges Guthaben bzw ein allfälliger Rückstand der
verkaufenden Partei aus einem Reparatur- bzw Instandhaltungsfonds
oder aus einer Betriebskostenabrechnung steht ohne weitere
Verrechnung der kaufenden Partei zu bzw geht ohne weitere
Verrechnung zu ihren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und Durchführung dieses Kaufvertrages
verbundenen Kosten und Abgaben trägt die Käuferin, welche auch den
Auftrag zur Vertragserrichtung erteilt hat.</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Begründung von Wohnungseigentum werden von den
Liegenschaftsmiteigentümern im Verhältnis ihrer aufgrund der
Nutzwertfestsetzung berichtigten Miteigentumsanteile getragen.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ausdrücklich, den wahren Wert des
Kaufobjektes zu kennen und um den im Kaufvertrag vereinbarten
Kaufpreis auch dann verkaufen und kaufen zu wollen, wenn es sich um
unverhältnismäßige Werte handeln sollte.</w:t>
      </w:r>
    </w:p>
    <w:p>
      <w:pPr>
        <w:widowControl w:val="on"/>
        <w:pBdr/>
        <w:spacing w:before="140" w:after="240" w:line="288" w:lineRule="auto"/>
        <w:ind w:left="0" w:right="0"/>
        <w:jc w:val="left"/>
      </w:pPr>
      <w:r>
        <w:rPr>
          <w:rFonts w:ascii="Arial" w:hAnsi="Arial" w:eastAsia="Arial" w:cs="Arial"/>
          <w:color w:val="000000"/>
          <w:sz w:val="20"/>
          <w:szCs w:val="20"/>
        </w:rPr>
        <w:t xml:space="preserve">Ein Energieausweis gemäß Energieausweis-Vorlage-Gesetzes (EAVG)
wurde dem Käufer bereits vor Vertragsunterzeichnung übergeben.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nimmt zur Kenntnis, dass der Kaufpreis der
Immobilienertragsteuer nach dem Einkommensteuergesetz unterliegt.
Er wurde darüber aufgeklärt, dass er selbst verpflichtet ist, für
die Berechnung und Abfuhr dieser Steuer zu sorgen und wird ihm
empfohlen, diesbezüglich die Leistungen eines Steuerberaters in
Anspruch zu nehmen. Es wird ausdrücklich festgehalten, dass der
Vertragserrichter die Immobilienertragsteuer nicht selbst berechnet
und auch nicht aus dem Kaufpreis abführt und diesbezüglich auch
keine Beratung erteilt. Der Verkäufer bestätigt, sich im Vorfeld
selbst ausreichend Informationen eingeholt zu haben und sich der
steuerlichen Folgen dieses Vertragsabschlusses voll bewusst zu
sein.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dass gegenständliche Kaufgegenstände
weder zur Gänze noch teilweise als Hauptwohnsitz gedient haben,
weswegen ein Tatbestand zur Befreiung von der ImmoESt nicht
vorliegt.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sohin ihre ausdrückliche
Einwilligung, dass aufgrund dieser Urkunde ohne ihr weiteres Wissen
und Einvernehmen, ob der ihr gehörigen Liegenschaft EZ … KG …
einkommend im GB des BG … ob einem Hälfteanteil das Eigentumsrecht
für:</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geboren am …</w:t>
      </w:r>
    </w:p>
    <w:p>
      <w:pPr>
        <w:widowControl w:val="on"/>
        <w:pBdr/>
        <w:spacing w:before="140" w:after="240" w:line="288" w:lineRule="auto"/>
        <w:ind w:left="0" w:right="0"/>
        <w:jc w:val="left"/>
      </w:pPr>
      <w:r>
        <w:rPr>
          <w:rFonts w:ascii="Arial" w:hAnsi="Arial" w:eastAsia="Arial" w:cs="Arial"/>
          <w:color w:val="000000"/>
          <w:sz w:val="20"/>
          <w:szCs w:val="20"/>
        </w:rPr>
        <w:t xml:space="preserve">einverleibt werden kann.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beglaubigte Unterschriften sämtlicher Vertragsparteien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Aufsandungserklärungen (siehe Punkt IX) sind schriftliche
Erklärungen des Eigentümers, dass dieser mit der Eintragung
(Einverleibung, Verbücherung) im Grundbuch einverstanden ist. Diese
Erklärung muss von der Person abgegeben werden, deren Recht
beschränkt, belastet, aufgehoben oder übertragen werden soll. Fehlt
diese Aufsandungserklärung, ist eine Eintragung des Eigentums im
Grundbuch nicht möglich. Zufolge § 32 Abs 2 GBG muss die
ausdrückliche Erklärung desjenigen, dessen Recht beschränkt,
belastet, aufgehoben oder auf eine andere Person übertragen werden
soll, dass er in die Einverleibung einwilligt, in welcher Urkunde
auch immer sie abgegeben wird, die Voraussetzungen des § 31
Abs 1 GBG erfüllen, also gerichtlich oder notariell beglaubigt
durch den Verpflichteten unterfertigt sein.</w:t>
      </w:r>
    </w:p>
    <w:p>
      <w:pPr>
        <w:widowControl w:val="on"/>
        <w:pBdr/>
        <w:spacing w:before="140" w:after="240" w:line="288" w:lineRule="auto"/>
        <w:ind w:left="0" w:right="0"/>
        <w:jc w:val="left"/>
      </w:pPr>
      <w:r>
        <w:rPr>
          <w:rFonts w:ascii="Arial" w:hAnsi="Arial" w:eastAsia="Arial" w:cs="Arial"/>
          <w:color w:val="000000"/>
          <w:sz w:val="20"/>
          <w:szCs w:val="20"/>
        </w:rPr>
        <w:t xml:space="preserve">Die Unterfertigung des durch die Einverleibung Berechtigten
bedarf einmal einer gerichtlichen oder notariellen Beglaubigung,
wobei diese entweder in der Titelurkunde (Vertrag), einer eigenen
Aufsandungserklärung oder auch erst im Grundbuchsgesuch abgegeben
werden kann (siehe OGH 07.07.2011, 5 Ob 114/11t).</w:t>
      </w:r>
    </w:p>
    <w:p>
      <w:pPr>
        <w:widowControl w:val="on"/>
        <w:pBdr/>
        <w:spacing w:before="140" w:after="240" w:line="288" w:lineRule="auto"/>
        <w:ind w:left="0" w:right="0"/>
        <w:jc w:val="left"/>
      </w:pPr>
      <w:r>
        <w:rPr>
          <w:rFonts w:ascii="Arial" w:hAnsi="Arial" w:eastAsia="Arial" w:cs="Arial"/>
          <w:color w:val="000000"/>
          <w:sz w:val="20"/>
          <w:szCs w:val="20"/>
        </w:rPr>
        <w:t xml:space="preserve">Gem § 32 Abs 1 WEG sind die Aufwendungen für die
Liegenschaft einschließlich der Beiträge der Rücklage von den
Wohnungseigentümern nach dem Verhältnis ihrer Miteigentumsanteile
bei Ende der Abrechnungsperiode zu tragen. Dies bedeutet, dass für
die bis zur Verbücherung des jeweiligen Eigentumsrechts geltend
gemachten Betriebs- und Heizkosten der bisherige Eigentümer, nach
der Verbücherung der neue Eigentümer zahlungspflichtig ist. Findet
ein Eigentümerwechsel statt, ist der Zeitpunkt der Einverleibung im
Grundbuch maßgebend. Dies gilt unabhängig vom Zeitpunkt der
Veräußerung und dem zwischen Veräußerer und Erwerber
(gegebenenfalls) festgelegten Stichtag. Dies betrifft allerdings
nur die Haftung nach außen und nicht die interne
Kostentragungspflicht, da meist andere vertragliche Vereinbarungen
erfolgen. Vorschreibungen richten sich somit an den aktuellen
Eigentümer laut Grundbuch. Der betroffene Wohnungseigentümer wird
sich üblicherweise bei seinem Rechtsvorgänger regressieren
können.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07731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3180345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426518">
    <w:multiLevelType w:val="hybridMultilevel"/>
    <w:lvl w:ilvl="0" w:tplc="89847749">
      <w:start w:val="1"/>
      <w:numFmt w:val="decimal"/>
      <w:lvlText w:val="%1."/>
      <w:lvlJc w:val="left"/>
      <w:pPr>
        <w:ind w:left="720" w:hanging="360"/>
      </w:pPr>
    </w:lvl>
    <w:lvl w:ilvl="1" w:tplc="89847749" w:tentative="1">
      <w:start w:val="1"/>
      <w:numFmt w:val="lowerLetter"/>
      <w:lvlText w:val="%2."/>
      <w:lvlJc w:val="left"/>
      <w:pPr>
        <w:ind w:left="1440" w:hanging="360"/>
      </w:pPr>
    </w:lvl>
    <w:lvl w:ilvl="2" w:tplc="89847749" w:tentative="1">
      <w:start w:val="1"/>
      <w:numFmt w:val="lowerRoman"/>
      <w:lvlText w:val="%3."/>
      <w:lvlJc w:val="right"/>
      <w:pPr>
        <w:ind w:left="2160" w:hanging="180"/>
      </w:pPr>
    </w:lvl>
    <w:lvl w:ilvl="3" w:tplc="89847749" w:tentative="1">
      <w:start w:val="1"/>
      <w:numFmt w:val="decimal"/>
      <w:lvlText w:val="%4."/>
      <w:lvlJc w:val="left"/>
      <w:pPr>
        <w:ind w:left="2880" w:hanging="360"/>
      </w:pPr>
    </w:lvl>
    <w:lvl w:ilvl="4" w:tplc="89847749" w:tentative="1">
      <w:start w:val="1"/>
      <w:numFmt w:val="lowerLetter"/>
      <w:lvlText w:val="%5."/>
      <w:lvlJc w:val="left"/>
      <w:pPr>
        <w:ind w:left="3600" w:hanging="360"/>
      </w:pPr>
    </w:lvl>
    <w:lvl w:ilvl="5" w:tplc="89847749" w:tentative="1">
      <w:start w:val="1"/>
      <w:numFmt w:val="lowerRoman"/>
      <w:lvlText w:val="%6."/>
      <w:lvlJc w:val="right"/>
      <w:pPr>
        <w:ind w:left="4320" w:hanging="180"/>
      </w:pPr>
    </w:lvl>
    <w:lvl w:ilvl="6" w:tplc="89847749" w:tentative="1">
      <w:start w:val="1"/>
      <w:numFmt w:val="decimal"/>
      <w:lvlText w:val="%7."/>
      <w:lvlJc w:val="left"/>
      <w:pPr>
        <w:ind w:left="5040" w:hanging="360"/>
      </w:pPr>
    </w:lvl>
    <w:lvl w:ilvl="7" w:tplc="89847749" w:tentative="1">
      <w:start w:val="1"/>
      <w:numFmt w:val="lowerLetter"/>
      <w:lvlText w:val="%8."/>
      <w:lvlJc w:val="left"/>
      <w:pPr>
        <w:ind w:left="5760" w:hanging="360"/>
      </w:pPr>
    </w:lvl>
    <w:lvl w:ilvl="8" w:tplc="89847749" w:tentative="1">
      <w:start w:val="1"/>
      <w:numFmt w:val="lowerRoman"/>
      <w:lvlText w:val="%9."/>
      <w:lvlJc w:val="right"/>
      <w:pPr>
        <w:ind w:left="6480" w:hanging="180"/>
      </w:pPr>
    </w:lvl>
  </w:abstractNum>
  <w:abstractNum w:abstractNumId="81426517">
    <w:multiLevelType w:val="hybridMultilevel"/>
    <w:lvl w:ilvl="0" w:tplc="76380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26517">
    <w:abstractNumId w:val="81426517"/>
  </w:num>
  <w:num w:numId="81426518">
    <w:abstractNumId w:val="81426518"/>
  </w:num>
  <w:num w:numId="731803457">
    <w:abstractNumId w:val="731803457"/>
  </w:num>
  <w:num w:numId="522077310">
    <w:abstractNumId w:val="522077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42225389" Type="http://schemas.openxmlformats.org/officeDocument/2006/relationships/numbering" Target="numbering.xml"/><Relationship Id="rId74106513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