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424138" w:name="document"/>
    <w:bookmarkEnd w:id="5424138"/>
    <w:p/>
    <w:p>
      <w:pPr>
        <w:widowControl w:val="on"/>
        <w:pBdr/>
        <w:spacing w:before="0" w:after="280" w:line="240" w:lineRule="auto"/>
        <w:ind w:left="0" w:right="0"/>
        <w:jc w:val="left"/>
      </w:pPr>
      <w:r>
        <w:rPr>
          <w:rFonts w:ascii="Arial" w:hAnsi="Arial" w:eastAsia="Arial" w:cs="Arial"/>
          <w:color w:val="363A40"/>
          <w:sz w:val="24"/>
          <w:szCs w:val="24"/>
        </w:rPr>
        <w:t xml:space="preserve">Dokument-ID: 822628 | Christoph Naske -
Redaktion FORUM Media - Albert Scherzer - Karin Zahiragic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über eine Eigentumswohnung mit einer Person eines
Drittstaats gem Stmk Grundverkehrsgesetz</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Der Vertrag ist darauf abgestimmt, dass als Käufer eine natürliche
Person mit Staatsangehörigkeit eines Drittstaates (also keines
Mitgliedsstaates der Europäischen Union) auftritt.</w:t>
      </w:r>
    </w:p>
    <w:p>
      <w:r>
        <w:pict>
          <v:rect id="_x0000_i1026" style="width:0;height:1.5pt" o:hralign="center" o:hrstd="t" o:hr="t" o:hrnoshade="t" fillcolor="#a0a0a0" stroked="f"/>
        </w:pic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w:t>
      </w:r>
      <w:r>
        <w:rPr>
          <w:rFonts w:ascii="Arial" w:hAnsi="Arial" w:eastAsia="Arial" w:cs="Arial"/>
          <w:color w:val="000000"/>
          <w:sz w:val="20"/>
          <w:szCs w:val="20"/>
        </w:rPr>
        <w:br/>
        <w:t xml:space="preserve">3100 St. Pölten, Wallseerstraße 13</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Petra Müller, geb 21.08.1973</w:t>
      </w:r>
      <w:r>
        <w:rPr>
          <w:rFonts w:ascii="Arial" w:hAnsi="Arial" w:eastAsia="Arial" w:cs="Arial"/>
          <w:color w:val="000000"/>
          <w:sz w:val="20"/>
          <w:szCs w:val="20"/>
        </w:rPr>
        <w:br/>
        <w:t xml:space="preserve">3100 St. Pölten, Wallseerstraße 13</w:t>
      </w:r>
      <w:r>
        <w:rPr>
          <w:rFonts w:ascii="Arial" w:hAnsi="Arial" w:eastAsia="Arial" w:cs="Arial"/>
          <w:color w:val="000000"/>
          <w:sz w:val="20"/>
          <w:szCs w:val="20"/>
        </w:rPr>
        <w:br/>
        <w:t xml:space="preserve">als „Verkäufer“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Anastasia Irina Kolokov, geb 02.05.1970</w:t>
      </w:r>
      <w:r>
        <w:rPr>
          <w:rFonts w:ascii="Arial" w:hAnsi="Arial" w:eastAsia="Arial" w:cs="Arial"/>
          <w:color w:val="000000"/>
          <w:sz w:val="20"/>
          <w:szCs w:val="20"/>
        </w:rPr>
        <w:br/>
        <w:t xml:space="preserve">2100 Korneuburg, Hauptplatz 37/20</w:t>
      </w:r>
      <w:r>
        <w:rPr>
          <w:rFonts w:ascii="Arial" w:hAnsi="Arial" w:eastAsia="Arial" w:cs="Arial"/>
          <w:color w:val="000000"/>
          <w:sz w:val="20"/>
          <w:szCs w:val="20"/>
        </w:rPr>
        <w:br/>
        <w:t xml:space="preserve">als „Käuferin“ andererseits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 01.09.1941 und Petra Müller, geb 21.08.1973 –
im Folgenden „Verkäufer“ genannt – sind Eigentümer nachstehender
Liegenschaftsanteile:</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64157 Waltersdorf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124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Hartberg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2019-27-10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4567/2010</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Salierigasse 34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Wallrißstraße 9</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Hans</w:t>
            </w:r>
            <w:r>
              <w:rPr>
                <w:rFonts w:ascii="Arial" w:hAnsi="Arial" w:eastAsia="Arial" w:cs="Arial"/>
                <w:color w:val="000000"/>
                <w:position w:val="0"/>
                <w:sz w:val="20"/>
                <w:szCs w:val="20"/>
                <w:shd w:val="clear" w:color="auto" w:fill="FFFFFF"/>
              </w:rPr>
              <w:br/>
              <w:t xml:space="preserve">Geb: 1941-09-01 Adr: Wallseerstr. 13 3100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Petra</w:t>
            </w:r>
            <w:r>
              <w:rPr>
                <w:rFonts w:ascii="Arial" w:hAnsi="Arial" w:eastAsia="Arial" w:cs="Arial"/>
                <w:color w:val="000000"/>
                <w:position w:val="0"/>
                <w:sz w:val="20"/>
                <w:szCs w:val="20"/>
                <w:shd w:val="clear" w:color="auto" w:fill="FFFFFF"/>
              </w:rPr>
              <w:br/>
              <w:t xml:space="preserve">Geb: 1973-08-21 Adr: Wallseerstr. 13 3100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Lasten</w:t>
      </w:r>
    </w:p>
    <w:p>
      <w:pPr>
        <w:widowControl w:val="on"/>
        <w:pBdr/>
        <w:spacing w:before="140" w:after="240" w:line="288" w:lineRule="auto"/>
        <w:ind w:left="0" w:right="0"/>
        <w:jc w:val="left"/>
      </w:pPr>
      <w:r>
        <w:rPr>
          <w:rFonts w:ascii="Arial" w:hAnsi="Arial" w:eastAsia="Arial" w:cs="Arial"/>
          <w:color w:val="000000"/>
          <w:sz w:val="20"/>
          <w:szCs w:val="20"/>
        </w:rPr>
        <w:t xml:space="preserve">Ob der kaufgegenständlichen Liegenschaft haften nachstehende
Lasten aus:</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gridSpan w:val="4"/>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5193/1998 Pfandurkunde 1998-09-07</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 Höchstbetrag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2,700.000,00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gridSpan w:val="4"/>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3941/2000 Pfandurkunde 2000-06-26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500.000,00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100.000,00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gridSpan w:val="4"/>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7293/2000 Pfandurkunde 2000-10-31</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Pfandrecht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100.000,00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12 % Z, 5 % VuZZ, NGS 20.000,00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Diese Liegenschaftsanteile, mit dem Wohnungseigentum an W 4 samt
Stellplatz 8 untrennbar verbunden sind, bilden nun samt allen damit
verbundenen Rechten und Pflichten, so wie die Verkäufer sie
ausgeübt haben oder ausüben hätten können, den Gegenstand dieses
Kaufvertrages.</w:t>
      </w:r>
    </w:p>
    <w:p>
      <w:pPr>
        <w:widowControl w:val="on"/>
        <w:pBdr/>
        <w:spacing w:before="140" w:after="240" w:line="288" w:lineRule="auto"/>
        <w:ind w:left="0" w:right="0"/>
        <w:jc w:val="left"/>
      </w:pPr>
      <w:r>
        <w:rPr>
          <w:rFonts w:ascii="Arial" w:hAnsi="Arial" w:eastAsia="Arial" w:cs="Arial"/>
          <w:color w:val="000000"/>
          <w:sz w:val="20"/>
          <w:szCs w:val="20"/>
        </w:rPr>
        <w:t xml:space="preserve">Die im C-Blatt angeführten Lasten werden von der Käuferin
übernommen.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verkaufen und übergeben nun an Anastasia Irina
Kolokov, geb 02.05.1970 – im Folgenden kurz
</w:t>
      </w:r>
      <w:r>
        <w:rPr>
          <w:rFonts w:ascii="Arial" w:hAnsi="Arial" w:eastAsia="Arial" w:cs="Arial"/>
          <w:b/>
          <w:bCs/>
          <w:color w:val="000000"/>
          <w:sz w:val="20"/>
          <w:szCs w:val="20"/>
        </w:rPr>
        <w:t xml:space="preserve">„Käuferin“</w:t>
      </w:r>
      <w:r>
        <w:rPr>
          <w:rFonts w:ascii="Arial" w:hAnsi="Arial" w:eastAsia="Arial" w:cs="Arial"/>
          <w:color w:val="000000"/>
          <w:sz w:val="20"/>
          <w:szCs w:val="20"/>
        </w:rPr>
        <w:t xml:space="preserve"> genannt – und diese kauft und übernimmt
nun den in Pkt I. näher genannten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Die tatsächliche Übergabe erfolgt binnen drei Wochen nach
Eingang des Kaufpreises sowie Nebengebühren beim Treuhänder durch
Übergabe sämtlicher das Objekt sperrender Schlüssel.</w:t>
      </w:r>
    </w:p>
    <w:p>
      <w:pPr>
        <w:widowControl w:val="on"/>
        <w:pBdr/>
        <w:spacing w:before="140" w:after="240" w:line="288" w:lineRule="auto"/>
        <w:ind w:left="0" w:right="0"/>
        <w:jc w:val="left"/>
      </w:pPr>
      <w:r>
        <w:rPr>
          <w:rFonts w:ascii="Arial" w:hAnsi="Arial" w:eastAsia="Arial" w:cs="Arial"/>
          <w:color w:val="000000"/>
          <w:sz w:val="20"/>
          <w:szCs w:val="20"/>
        </w:rPr>
        <w:t xml:space="preserve">Die Übergabe erfolgt vollständig geräumt von eigenen Fahrnissen
der Verkäufer. Sollte die Liegenschaft sich am hier vorgesehenen
Tag der Übergabe nicht in einem vollständig geräumten und
besenreinen Zustand befinden, ist die Käuferin berechtigt,
sämtliche noch in der Liegenschaft befindlichen Fahrnisse aus der
Liegenschaft zu entfernen und zu entsorgen. Die Verkäufer
verpflichten sich, der Käuferin alle dadurch entstehenden Kosten zu
ersetzen.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Vertragsstichtag</w:t>
      </w:r>
    </w:p>
    <w:p>
      <w:pPr>
        <w:widowControl w:val="on"/>
        <w:pBdr/>
        <w:spacing w:before="140" w:after="240" w:line="288" w:lineRule="auto"/>
        <w:ind w:left="0" w:right="0"/>
        <w:jc w:val="left"/>
      </w:pPr>
      <w:r>
        <w:rPr>
          <w:rFonts w:ascii="Arial" w:hAnsi="Arial" w:eastAsia="Arial" w:cs="Arial"/>
          <w:color w:val="000000"/>
          <w:sz w:val="20"/>
          <w:szCs w:val="20"/>
        </w:rPr>
        <w:t xml:space="preserve">Als Übergang von Nutzen und Lasten, Gefahr und Zufall
vereinbaren die Vertragsteile den Tag der tatsächlichen Übergabe.
Bis dahin entstandene Lasten haben noch die Verkäufer zu tragen,
danach entstehende Verbindlichkeiten fallen der Käuferin zur
Last.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verkaufenden Partei aus einem Reparatur- bzw Instandhaltungsfonds
oder aus einer Betriebskostenabrechnung steht ohne weitere
Verrechnung der kaufenden Partei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215.000,– (in Worten:
zweihundertfünfzehntausend Euro).</w:t>
      </w:r>
    </w:p>
    <w:p>
      <w:pPr>
        <w:widowControl w:val="on"/>
        <w:pBdr/>
        <w:spacing w:before="140" w:after="240" w:line="288" w:lineRule="auto"/>
        <w:ind w:left="0" w:right="0"/>
        <w:jc w:val="left"/>
      </w:pPr>
      <w:r>
        <w:rPr>
          <w:rFonts w:ascii="Arial" w:hAnsi="Arial" w:eastAsia="Arial" w:cs="Arial"/>
          <w:color w:val="000000"/>
          <w:sz w:val="20"/>
          <w:szCs w:val="20"/>
        </w:rPr>
        <w:t xml:space="preserve">Der Kaufpreis ist von der Käuferin innerhalb von drei Wochen
nach Unterfertigung dieses Vertrages auf ein vom Vertragserrichter
und Treuhänder Rechtsanwalt Dr. Hans-Peter Musteranwalt unter den
Regeln des elektronischen anwaltlichen Treuhandbuches geführtes
Anderkonto bei der Uni-Credit Bank Austria (BLZ 12000) mit der
Kontonummer 00000000000000000 zu überweisen. Für den Fall des
Verzuges werden Verzugszinsen in Höhe von 8 % pa
vereinbart.</w:t>
      </w:r>
    </w:p>
    <w:p>
      <w:pPr>
        <w:widowControl w:val="on"/>
        <w:pBdr/>
        <w:spacing w:before="140" w:after="240" w:line="288" w:lineRule="auto"/>
        <w:ind w:left="0" w:right="0"/>
        <w:jc w:val="left"/>
      </w:pPr>
      <w:r>
        <w:rPr>
          <w:rFonts w:ascii="Arial" w:hAnsi="Arial" w:eastAsia="Arial" w:cs="Arial"/>
          <w:color w:val="000000"/>
          <w:sz w:val="20"/>
          <w:szCs w:val="20"/>
        </w:rPr>
        <w:t xml:space="preserve">Weiters hat die Käuferin binnen gleicher Frist den für
Grunderwerbsteuer und Eintragungsgebühr erforderlichen Betrag von
EUR 9.890,– (in Worten: Euro neuntausendachthundertneunzig)
auf das vom genannten Vertragserrichter geführte allgemeine
Anderkonto 000000000000000 bei der Uni-Credit Bank Austria, BLZ
12000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bestellen nun Rechtsanwalt Dr. Hans-Peter
Musteranwalt, Musterstraße 25, 1010 Wien einseitig nicht
widerrufbar zum gemeinsamen Treuhänder mit dem Auftrag</w:t>
      </w:r>
    </w:p>
    <w:p>
      <w:pPr>
        <w:numPr>
          <w:ilvl w:val="0"/>
          <w:numId w:val="6597605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Erhalt des Beschlusses über die Anmerkung der Rangordnung
für die Veräußerung (sonst unveränderter Grundbuchstand
vorausgesetzt),</w:t>
      </w:r>
    </w:p>
    <w:p>
      <w:pPr>
        <w:numPr>
          <w:ilvl w:val="0"/>
          <w:numId w:val="6597605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Eingang des Kaufpreises und der Nebenkosten auf dem
Treuhandkonto,</w:t>
      </w:r>
    </w:p>
    <w:p>
      <w:pPr>
        <w:widowControl w:val="on"/>
        <w:pBdr/>
        <w:spacing w:before="140" w:after="240" w:line="288" w:lineRule="auto"/>
        <w:ind w:left="0" w:right="0"/>
        <w:jc w:val="left"/>
      </w:pPr>
      <w:r>
        <w:rPr>
          <w:rFonts w:ascii="Arial" w:hAnsi="Arial" w:eastAsia="Arial" w:cs="Arial"/>
          <w:color w:val="000000"/>
          <w:sz w:val="20"/>
          <w:szCs w:val="20"/>
        </w:rPr>
        <w:t xml:space="preserve">zunächst die zur Lastenfreistellung erforderlichen Beträge an
die Pfandgläubiger auszuzahlen und</w:t>
      </w:r>
    </w:p>
    <w:p>
      <w:pPr>
        <w:numPr>
          <w:ilvl w:val="0"/>
          <w:numId w:val="4494226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Einverleibung des lastenfreien Eigentumsrechts der
Käuferin</w:t>
      </w:r>
    </w:p>
    <w:p>
      <w:pPr>
        <w:widowControl w:val="on"/>
        <w:pBdr/>
        <w:spacing w:before="140" w:after="240" w:line="288" w:lineRule="auto"/>
        <w:ind w:left="0" w:right="0"/>
        <w:jc w:val="left"/>
      </w:pPr>
      <w:r>
        <w:rPr>
          <w:rFonts w:ascii="Arial" w:hAnsi="Arial" w:eastAsia="Arial" w:cs="Arial"/>
          <w:color w:val="000000"/>
          <w:sz w:val="20"/>
          <w:szCs w:val="20"/>
        </w:rPr>
        <w:t xml:space="preserve">den Kaufpreis samt bis dahin angereifter Zinsen jedoch abzüglich
Kapitalertragsteuer und Bankspesen auf ein von den Verkäufern
bekanntzugebendes Konto auszuzahlen.</w:t>
      </w:r>
    </w:p>
    <w:p>
      <w:pPr>
        <w:widowControl w:val="on"/>
        <w:pBdr/>
        <w:spacing w:before="140" w:after="240" w:line="288" w:lineRule="auto"/>
        <w:ind w:left="0" w:right="0"/>
        <w:jc w:val="left"/>
      </w:pPr>
      <w:r>
        <w:rPr>
          <w:rFonts w:ascii="Arial" w:hAnsi="Arial" w:eastAsia="Arial" w:cs="Arial"/>
          <w:color w:val="000000"/>
          <w:sz w:val="20"/>
          <w:szCs w:val="20"/>
        </w:rPr>
        <w:t xml:space="preserve">Sollte der Kaufpreis nicht pünktlich auf dem Treuhandkonto
eintreffen, können die Verkäufer unbeschadet allfälliger
Schadenersatzansprüche unter Setzung einer Nachfrist von einer
Woche vom Vertrag durch schriftliche Erklärung an die Käuferin zu
Handen des Treuhänders (und nur in dieser Weise) zurücktreten.</w:t>
      </w:r>
    </w:p>
    <w:p>
      <w:pPr>
        <w:widowControl w:val="on"/>
        <w:pBdr/>
        <w:spacing w:before="140" w:after="240" w:line="288" w:lineRule="auto"/>
        <w:ind w:left="0" w:right="0"/>
        <w:jc w:val="left"/>
      </w:pPr>
      <w:r>
        <w:rPr>
          <w:rFonts w:ascii="Arial" w:hAnsi="Arial" w:eastAsia="Arial" w:cs="Arial"/>
          <w:color w:val="000000"/>
          <w:sz w:val="20"/>
          <w:szCs w:val="20"/>
        </w:rPr>
        <w:t xml:space="preserve">Der Vertragserrichter hat diesen Kaufvertrag gem § 10
GrEStG beim Finanzamt für Gebühren, Verkehrssteuern und Glückspiel
anzuzeigen oder eine Selbstberechnung der Grunderwerbsteuer und
Eintragungsgebühr gem § 12 GrEStG vorzunehmen sowie die
genannten Abgaben aus dem Treuhanderlag an das zuständige Finanzamt
abzuführen. Der Vertragserrichter wird von den Vertragsparteien
dazu ausdrücklich bevollmächtigt und beauftragt.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und die Käuferin nehmen zur Kenntnis, dass durch
diesen Vertrag lediglich der vertragskonforme Liegenschaftserwerb
der Käuferin und die vertragskonforme Verwendung des Kaufpreises
abgesichert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Die Käuferin hat den Vertragsgegenstand eingehend besichtigt und
ist über dessen Zustand in Kenntnis.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keine Gewähr für einen bestimmten
Zustand oder eine bestimmte Beschaffenheit und Verwendungsfähigkeit
des Vertragsgegenstandes, wohl aber dafür, dass dieser völlig
bestandfrei und frei von sonstigen bücherlichen oder
außerbücherlichen Lasten wie auch Dienstbarkeiten, Reallasten und
dergleichen ist, sowie dass der Vertragsgegenstand sein
unbelastetes Eigentum ist und lastenfrei in das Eigentum der
Käuferin übergehen kann.</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mitverkauften Einrichtung erklären die
Verkäufer, dass zum Zeitpunkt der Übergabe alle Geräte
funktionstüchtig sind. Eine darüber hinausgehende Gewährleistung
wird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sich die technischen Einrichtungen
und Leitungen in brauchbarem Zustand befinden. Weiters wird
zugesichert, dass keine Bauaufträge bestehen und das Objekt nicht
unter Denkmalschutz steht.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ferner die Haftung dafür, dass im
Zusammenhang mit dem Vertragsgegenstand keine offenen
Versicherungsprämien, Betriebskosten, Steuern oder sonstige
Abgaben, welcher Art auch immer, bestehen.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wesentliche Voraussetzung für den
Kaufvertrag die Bestandsfreiheit ist. Die Verkäufer garantieren
nun, dass keine aufrechten Bestandverhältnisse oder sonstigen
Nutzungsrechte Dritter an der Liegenschaft bestehen. Sollte nach
Vertragsabschluss derartige Rechte von Dritten behauptet werden, so
steht dem Käufer das Recht zu, vom Vertrag zurückzutreten.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Vertragsverfasser/Vollmacht</w:t>
      </w:r>
    </w:p>
    <w:p>
      <w:pPr>
        <w:widowControl w:val="on"/>
        <w:pBdr/>
        <w:spacing w:before="140" w:after="240" w:line="288" w:lineRule="auto"/>
        <w:ind w:left="0" w:right="0"/>
        <w:jc w:val="left"/>
      </w:pPr>
      <w:r>
        <w:rPr>
          <w:rFonts w:ascii="Arial" w:hAnsi="Arial" w:eastAsia="Arial" w:cs="Arial"/>
          <w:color w:val="000000"/>
          <w:sz w:val="20"/>
          <w:szCs w:val="20"/>
        </w:rPr>
        <w:t xml:space="preserve">Sämtliche Vertragsteile erteilen dem Verfasser dieses Vertrages,
Rechtsanwalt Dr. Hans-Peter Musteranwalt, 1010 Wien, Musterstraße
25, Vollmacht und Auftrag, zu diesem Vertrag Nachträge zu
errichten, sofern dies zur vertragskonformen Herstellung der
Grundbuchsordnung notwendig oder doch zweckmäßig ist.</w:t>
      </w:r>
    </w:p>
    <w:p>
      <w:pPr>
        <w:widowControl w:val="on"/>
        <w:pBdr/>
        <w:spacing w:before="140" w:after="240" w:line="288" w:lineRule="auto"/>
        <w:ind w:left="0" w:right="0"/>
        <w:jc w:val="left"/>
      </w:pPr>
      <w:r>
        <w:rPr>
          <w:rFonts w:ascii="Arial" w:hAnsi="Arial" w:eastAsia="Arial" w:cs="Arial"/>
          <w:color w:val="000000"/>
          <w:sz w:val="20"/>
          <w:szCs w:val="20"/>
        </w:rPr>
        <w:t xml:space="preserve">Weiters erteilen die Vertragsparteien genanntem Rechtsanwalt
überhaupt die Vollmacht, sie im Zusammenhang mit der Abwicklung
dieses Vertrages gegenüber Gerichten und Behörden sowie
Kreditinstitute zu vertreten und entbinden Letztere vom
Bankgeheimnis.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Abgaben, Gebühren,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und Durchführung dieses Vertrages
verbundenen Gebühren (Gerichtsgebühren, Legalisierungsgebühren,
etc) sowie die Grunderwerbsteuer und Eintragungsgebühr trägt die
Käuferin.</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Errichtung dieses Kaufvertrages, der Abwicklung
der Treuhandschaft und der grundbücherlichen Durchführung trägt die
Käuferin.</w:t>
      </w:r>
    </w:p>
    <w:p>
      <w:pPr>
        <w:widowControl w:val="on"/>
        <w:pBdr/>
        <w:spacing w:before="140" w:after="240" w:line="288" w:lineRule="auto"/>
        <w:ind w:left="0" w:right="0"/>
        <w:jc w:val="left"/>
      </w:pPr>
      <w:r>
        <w:rPr>
          <w:rFonts w:ascii="Arial" w:hAnsi="Arial" w:eastAsia="Arial" w:cs="Arial"/>
          <w:color w:val="000000"/>
          <w:sz w:val="20"/>
          <w:szCs w:val="20"/>
        </w:rPr>
        <w:t xml:space="preserve">Die Kosten im Zusammenhang mit einer allfälligen
Selbstberechnung der Immobilienertragssteuer tragen die
Verkäufer.</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Einholung der
ausländergrundverkehrsbehördlichen Genehmigung verbundenen Kosten
und Gebühren trägt die Käuferin.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Sohin erteilen Hans Müller, geb 01.09.1941 und Petra Müller, geb
21.08.1973 ihre Einwilligung, dass aufgrund dieses Vertrages ob
nachstehender Liegenschaft:</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64157 Waltersdorf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EINLAGEZAHL 124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BEZIRKSGERICHT Hartberg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Abfragedatum 2019-27-10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4567/2010</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Wohnungseigentum</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Salierigasse 34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Wallrißstraße 9</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362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Hans</w:t>
            </w:r>
            <w:r>
              <w:rPr>
                <w:rFonts w:ascii="Arial" w:hAnsi="Arial" w:eastAsia="Arial" w:cs="Arial"/>
                <w:color w:val="000000"/>
                <w:position w:val="0"/>
                <w:sz w:val="20"/>
                <w:szCs w:val="20"/>
                <w:shd w:val="clear" w:color="auto" w:fill="FFFFFF"/>
              </w:rPr>
              <w:br/>
              <w:t xml:space="preserve">Geb: 1941-09-01 Adr: Wallseerstr. 13 3100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gridSpan w:val="2"/>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Petra</w:t>
            </w:r>
            <w:r>
              <w:rPr>
                <w:rFonts w:ascii="Arial" w:hAnsi="Arial" w:eastAsia="Arial" w:cs="Arial"/>
                <w:color w:val="000000"/>
                <w:position w:val="0"/>
                <w:sz w:val="20"/>
                <w:szCs w:val="20"/>
                <w:shd w:val="clear" w:color="auto" w:fill="FFFFFF"/>
              </w:rPr>
              <w:br/>
              <w:t xml:space="preserve">Geb: 1973-08-21 Adr: Wallseerstr. 13 3100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pPr>
        <w:widowControl w:val="on"/>
        <w:pBdr/>
        <w:spacing w:before="140" w:after="240" w:line="288" w:lineRule="auto"/>
        <w:ind w:left="0" w:right="0"/>
        <w:jc w:val="left"/>
      </w:pPr>
      <w:r>
        <w:rPr>
          <w:rFonts w:ascii="Arial" w:hAnsi="Arial" w:eastAsia="Arial" w:cs="Arial"/>
          <w:color w:val="000000"/>
          <w:sz w:val="20"/>
          <w:szCs w:val="20"/>
        </w:rPr>
        <w:t xml:space="preserve">das Eigentumsrecht für</w:t>
      </w:r>
    </w:p>
    <w:p>
      <w:pPr>
        <w:numPr>
          <w:ilvl w:val="0"/>
          <w:numId w:val="983795311"/>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Anastasia Irina Kolokov, geb 02.05.1970</w:t>
      </w:r>
      <w:r>
        <w:rPr>
          <w:rFonts w:ascii="Arial" w:hAnsi="Arial" w:eastAsia="Arial" w:cs="Arial"/>
          <w:color w:val="000000"/>
          <w:sz w:val="20"/>
          <w:szCs w:val="20"/>
        </w:rPr>
        <w:br/>
        <w:t xml:space="preserve">2100 Korneuburg, Hauptplatz 37/20</w:t>
      </w:r>
    </w:p>
    <w:p>
      <w:pPr>
        <w:widowControl w:val="on"/>
        <w:pBdr/>
        <w:spacing w:before="140" w:after="240" w:line="288" w:lineRule="auto"/>
        <w:ind w:left="0" w:right="0"/>
        <w:jc w:val="left"/>
      </w:pPr>
      <w:r>
        <w:rPr>
          <w:rFonts w:ascii="Arial" w:hAnsi="Arial" w:eastAsia="Arial" w:cs="Arial"/>
          <w:color w:val="000000"/>
          <w:sz w:val="20"/>
          <w:szCs w:val="20"/>
        </w:rPr>
        <w:t xml:space="preserve">einverleibt werden könne und möge.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Übergang von </w:t>
      </w:r>
      <w:r>
        <w:rPr>
          <w:rFonts w:ascii="Arial" w:hAnsi="Arial" w:eastAsia="Arial" w:cs="Arial"/>
          <w:b/>
          <w:bCs/>
          <w:color w:val="363A40"/>
          <w:sz w:val="28"/>
          <w:szCs w:val="28"/>
        </w:rPr>
        <w:t xml:space="preserve">Versicherungen</w:t>
      </w:r>
      <w:bookmarkStart w:id="57579819" w:name="link1"/>
      <w:bookmarkEnd w:id="57579819"/>
      <w:hyperlink w:anchor="note1" w:history="1">
        <w:r>
          <w:rPr>
            <w:rFonts w:ascii="Arial" w:hAnsi="Arial" w:eastAsia="Arial" w:cs="Arial"/>
            <w:b/>
            <w:bCs/>
            <w:color w:val="006BB6"/>
            <w:position w:val="6"/>
            <w:sz w:val="31"/>
            <w:szCs w:val="31"/>
            <w:vertAlign w:val="superscript"/>
          </w:rPr>
          <w:t xml:space="preserve">1</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Käuferin wurde darüber aufgeklärt, dass eine allenfalls für
die veräußerte Liegenschaft abgeschlossene Versicherung
gem § 69 VersVG auf sie übergeht sowie dass sie eine
derartige Versicherung gem § 70 Abs 1 VersVG
innerhalb eines Monats ab Einverleibung ihres Eigentums im
Grundbuch kündigen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sind verpflichtet, der Käuferin sämtliche für das
Vertragsobjekt bestehenden Versicherungen unter Angabe der
Versicherungsgesellschaft und der Polizzennummer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Energieausweis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legen einen Energieausweis im Sinne des
Energieausweis-Vorlage-Gesetzes 2012 vor, der diesem Vertrag als
Beilage ./A (ohne Anhang) angeschlossen wird. Die Käuferin
bestätigt, den Energieausweis einschließlich Anhang erhalten zu
haben.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Der Käuferin ist der Inhalt des Wohnungseigentumsvertrages
bekannt. Sie erklärt, in sämtliche Rechte und Verbindlichkeiten,
die sich aus dem Verhältnis der Wohnungseigentümer zueinander
ergeben, vollinhaltlich einzutreten.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Inländereigenschaft</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an Eides statt russische Staatsbürgerin zu
sein. Die Verkäufer erklären an Eides statt österreichische
Staatsbürger zu sein.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Aufschiebende Bedingung</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bedarf einer Genehmigung nach dem
Steiermärkischen Grundverkehrsgesetz. Der Vertrag wird unter der
aufschiebenden Bedingung geschlossen, dass der Rechtserwerb durch
die Käuferin durch die nach dem Steiermärkischen
Grundverkehrsgesetz zuständige Behörde rechtskräftig genehmigt
wird.</w:t>
      </w:r>
    </w:p>
    <w:p>
      <w:pPr>
        <w:widowControl w:val="on"/>
        <w:pBdr/>
        <w:spacing w:before="140" w:after="240" w:line="288" w:lineRule="auto"/>
        <w:ind w:left="0" w:right="0"/>
        <w:jc w:val="left"/>
      </w:pPr>
      <w:r>
        <w:rPr>
          <w:rFonts w:ascii="Arial" w:hAnsi="Arial" w:eastAsia="Arial" w:cs="Arial"/>
          <w:color w:val="000000"/>
          <w:sz w:val="20"/>
          <w:szCs w:val="20"/>
        </w:rPr>
        <w:t xml:space="preserve">Sollte die Genehmigung in erster Instanz versagt werden, so ist
die Käuferin berechtigt, nicht jedoch verpflichtet, ein
Rechtsmittel zu erheben. Wird die Versagung der Genehmigung
rechtskräftig, so ist der Vertrag endgültig unwirksam.</w:t>
      </w:r>
    </w:p>
    <w:p>
      <w:pPr>
        <w:widowControl w:val="on"/>
        <w:pBdr/>
        <w:spacing w:before="140" w:after="240" w:line="288" w:lineRule="auto"/>
        <w:ind w:left="0" w:right="0"/>
        <w:jc w:val="left"/>
      </w:pPr>
      <w:r>
        <w:rPr>
          <w:rFonts w:ascii="Arial" w:hAnsi="Arial" w:eastAsia="Arial" w:cs="Arial"/>
          <w:color w:val="000000"/>
          <w:sz w:val="20"/>
          <w:szCs w:val="20"/>
        </w:rPr>
        <w:t xml:space="preserve">Wird die Genehmigung auch in zweiter Instanz versagt, so ist die
Käuferin zwar zur Erhebung einer Beschwerde an die Gerichtshöfe des
öffentlichen Rechts berechtigt, die Verkäufer haben in diesem Fall
jedoch das Recht, durch gemeinsame einschreibbriefliche Erklärung
an die Käuferin bis zum Vorliegen einer Entscheidung über die
Beschwerde von diesem Vertrag zurückzutreten.</w:t>
      </w:r>
    </w:p>
    <w:p>
      <w:pPr>
        <w:widowControl w:val="on"/>
        <w:pBdr/>
        <w:spacing w:before="140" w:after="240" w:line="288" w:lineRule="auto"/>
        <w:ind w:left="0" w:right="0"/>
        <w:jc w:val="left"/>
      </w:pPr>
      <w:r>
        <w:rPr>
          <w:rFonts w:ascii="Arial" w:hAnsi="Arial" w:eastAsia="Arial" w:cs="Arial"/>
          <w:color w:val="000000"/>
          <w:sz w:val="20"/>
          <w:szCs w:val="20"/>
        </w:rPr>
        <w:t xml:space="preserve">Bis zur rechtskräftigen Genehmigung darf der Vertrag nicht
umgesetzt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Immobilienertragsteuer</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nehmen zur Kenntnis, dass der gegenständliche
Rechtsvorgang den Regeln über die Immobilienertragsteuer
unterliegt.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wurden vom Vertragserrichter über §§ 30 ff
EStG, insbesondere über die Verpflichtung zur Entrichtung der
Immobilienertragssteuer, belehrt.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hiermit an Eides statt, dass der
Vertragsgegenstand innerhalb der letzten zehn Jahre vor der
Veräußerung mindestens fünf Jahre durchgehend als Hauptwohnsitz
gedient hat und sie erklären gleichzeitig, den Hauptwohnsitz mit
der Unterfertigung dieses Vertrages aufzugeben. Die Einkünfte aus
dem Veräußerungsgeschäft sind daher gem § 30 Abs 2
Z 1 lit b EStG steuerbefreit.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verpflichten sich dem Vertragserrichter das für
sie zuständige Finanzamt sowie eine allenfalls vorhandene
Steuernummer umgehend bekanntzugeben.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beauftragen den Vertragserrichter, die
entsprechende Meldung beim zuständigen Finanzamt vorzunehmen.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Ausfertigung errichtet, welche bis
zur Verbücherung beim Vertragsverfasser verbleibt und dann der
Käuferin gebührt.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erhalten eine unbeglaubigte Abschrift.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Hans Müller, geb 01.09.1941</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Petra Müller, geb 21.08.1973</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Anastasia Irina Kolokov, geb 02.05.1970</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421341" w:name="note1"/>
            <w:bookmarkEnd w:id="83421341"/>
            <w:bookmarkStart w:id="4251283755055" w:name="note1"/>
            <w:r>
              <w:rPr>
                <w:rFonts w:ascii="Arial" w:hAnsi="Arial" w:eastAsia="Arial" w:cs="Arial"/>
                <w:b/>
                <w:bCs/>
                <w:color w:val="000000"/>
                <w:position w:val="0"/>
                <w:sz w:val="20"/>
                <w:szCs w:val="20"/>
              </w:rPr>
              <w:t xml:space="preserve">[1]</w:t>
            </w:r>
            <w:bookmarkEnd w:id="425128375505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Übergang von Versicherungen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233047" w:name="note2"/>
            <w:bookmarkEnd w:id="2233047"/>
            <w:bookmarkStart w:id="2578713903197" w:name="note2"/>
            <w:r>
              <w:rPr>
                <w:rFonts w:ascii="Arial" w:hAnsi="Arial" w:eastAsia="Arial" w:cs="Arial"/>
                <w:b/>
                <w:bCs/>
                <w:color w:val="000000"/>
                <w:position w:val="0"/>
                <w:sz w:val="20"/>
                <w:szCs w:val="20"/>
              </w:rPr>
              <w:t xml:space="preserve">[2]</w:t>
            </w:r>
            <w:bookmarkEnd w:id="257871390319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Rechtskraftbestätigung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Genehmigungen von Verwaltungsbehörden, die Voraussetzung einer
bücherlichen Eintragung sind, müssen mit der Bestätigung der
Rechtskraft versehen sein. Gleiches gilt für Bescheide, mit denen
dem Grundbuchsgericht nachzuweisen ist, dass ein zu verbüchernder
Erwerbsvorgang keiner behördlichen Genehmigung – etwa einer
Genehmigung der Grundverkehrsbehörde oder der
Ausländergrundverkehrskommission – bedarf. Eine solche
Rechtskraftbestätigung entzieht sich einer Nachprüfung durch das
Grundbuchsgericht (so schon 5 Ob 1134/94); umgekehrt hat aber auch
das Grundbuchsgericht bei Fehlen einer Rechtskraftbestätigung von
sich aus keine Erwägungen über die Anfechtbarkeit eines
verwaltungsbehördlichen Genehmigungsbescheides anzustellen, weil
das Grundbuchsverfahren keine Möglichkeit für diesbezügliche
Erhebungen bietet; das Grundbuchsgericht hat sich weiters nicht auf
Spekulationen darüber einzulassen, ob ein Bescheid noch durch ein
ordentliches Rechtsmittel angefochten werden kann, sondern muss
eine eigene Erklärung der Behörde über die Rechtskraft verlangen;
eine den Entscheidungsgründen angefügte Rechtsbelehrung über die
gesetzlichen Anfechtungsmöglichkeiten reicht nicht aus (siehe
RIS-Justiz RS0099943).</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93409" w:name="note3"/>
            <w:bookmarkEnd w:id="7893409"/>
            <w:bookmarkStart w:id="2678000404030" w:name="note3"/>
            <w:r>
              <w:rPr>
                <w:rFonts w:ascii="Arial" w:hAnsi="Arial" w:eastAsia="Arial" w:cs="Arial"/>
                <w:b/>
                <w:bCs/>
                <w:color w:val="000000"/>
                <w:position w:val="0"/>
                <w:sz w:val="20"/>
                <w:szCs w:val="20"/>
              </w:rPr>
              <w:t xml:space="preserve">[3]</w:t>
            </w:r>
            <w:bookmarkEnd w:id="267800040403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Betriebskostentragung bei Eigentümerwechsel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379531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94226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976050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501261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454932">
    <w:multiLevelType w:val="hybridMultilevel"/>
    <w:lvl w:ilvl="0" w:tplc="25887791">
      <w:start w:val="1"/>
      <w:numFmt w:val="decimal"/>
      <w:lvlText w:val="%1."/>
      <w:lvlJc w:val="left"/>
      <w:pPr>
        <w:ind w:left="720" w:hanging="360"/>
      </w:pPr>
    </w:lvl>
    <w:lvl w:ilvl="1" w:tplc="25887791" w:tentative="1">
      <w:start w:val="1"/>
      <w:numFmt w:val="lowerLetter"/>
      <w:lvlText w:val="%2."/>
      <w:lvlJc w:val="left"/>
      <w:pPr>
        <w:ind w:left="1440" w:hanging="360"/>
      </w:pPr>
    </w:lvl>
    <w:lvl w:ilvl="2" w:tplc="25887791" w:tentative="1">
      <w:start w:val="1"/>
      <w:numFmt w:val="lowerRoman"/>
      <w:lvlText w:val="%3."/>
      <w:lvlJc w:val="right"/>
      <w:pPr>
        <w:ind w:left="2160" w:hanging="180"/>
      </w:pPr>
    </w:lvl>
    <w:lvl w:ilvl="3" w:tplc="25887791" w:tentative="1">
      <w:start w:val="1"/>
      <w:numFmt w:val="decimal"/>
      <w:lvlText w:val="%4."/>
      <w:lvlJc w:val="left"/>
      <w:pPr>
        <w:ind w:left="2880" w:hanging="360"/>
      </w:pPr>
    </w:lvl>
    <w:lvl w:ilvl="4" w:tplc="25887791" w:tentative="1">
      <w:start w:val="1"/>
      <w:numFmt w:val="lowerLetter"/>
      <w:lvlText w:val="%5."/>
      <w:lvlJc w:val="left"/>
      <w:pPr>
        <w:ind w:left="3600" w:hanging="360"/>
      </w:pPr>
    </w:lvl>
    <w:lvl w:ilvl="5" w:tplc="25887791" w:tentative="1">
      <w:start w:val="1"/>
      <w:numFmt w:val="lowerRoman"/>
      <w:lvlText w:val="%6."/>
      <w:lvlJc w:val="right"/>
      <w:pPr>
        <w:ind w:left="4320" w:hanging="180"/>
      </w:pPr>
    </w:lvl>
    <w:lvl w:ilvl="6" w:tplc="25887791" w:tentative="1">
      <w:start w:val="1"/>
      <w:numFmt w:val="decimal"/>
      <w:lvlText w:val="%7."/>
      <w:lvlJc w:val="left"/>
      <w:pPr>
        <w:ind w:left="5040" w:hanging="360"/>
      </w:pPr>
    </w:lvl>
    <w:lvl w:ilvl="7" w:tplc="25887791" w:tentative="1">
      <w:start w:val="1"/>
      <w:numFmt w:val="lowerLetter"/>
      <w:lvlText w:val="%8."/>
      <w:lvlJc w:val="left"/>
      <w:pPr>
        <w:ind w:left="5760" w:hanging="360"/>
      </w:pPr>
    </w:lvl>
    <w:lvl w:ilvl="8" w:tplc="25887791" w:tentative="1">
      <w:start w:val="1"/>
      <w:numFmt w:val="lowerRoman"/>
      <w:lvlText w:val="%9."/>
      <w:lvlJc w:val="right"/>
      <w:pPr>
        <w:ind w:left="6480" w:hanging="180"/>
      </w:pPr>
    </w:lvl>
  </w:abstractNum>
  <w:abstractNum w:abstractNumId="83454931">
    <w:multiLevelType w:val="hybridMultilevel"/>
    <w:lvl w:ilvl="0" w:tplc="103634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454931">
    <w:abstractNumId w:val="83454931"/>
  </w:num>
  <w:num w:numId="83454932">
    <w:abstractNumId w:val="83454932"/>
  </w:num>
  <w:num w:numId="225012611">
    <w:abstractNumId w:val="225012611"/>
  </w:num>
  <w:num w:numId="659760504">
    <w:abstractNumId w:val="659760504"/>
  </w:num>
  <w:num w:numId="44942263">
    <w:abstractNumId w:val="44942263"/>
  </w:num>
  <w:num w:numId="983795311">
    <w:abstractNumId w:val="9837953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74298333" Type="http://schemas.openxmlformats.org/officeDocument/2006/relationships/numbering" Target="numbering.xml"/><Relationship Id="rId16530361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