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3283027" w:name="document"/>
    <w:bookmarkEnd w:id="63283027"/>
    <w:p/>
    <w:p>
      <w:pPr>
        <w:widowControl w:val="on"/>
        <w:pBdr/>
        <w:spacing w:before="0" w:after="280" w:line="240" w:lineRule="auto"/>
        <w:ind w:left="0" w:right="0"/>
        <w:jc w:val="left"/>
      </w:pPr>
      <w:r>
        <w:rPr>
          <w:rFonts w:ascii="Arial" w:hAnsi="Arial" w:eastAsia="Arial" w:cs="Arial"/>
          <w:color w:val="363A40"/>
          <w:sz w:val="24"/>
          <w:szCs w:val="24"/>
        </w:rPr>
        <w:t xml:space="preserve">Dokument-ID: 488394 | Christoph Naske - FORUM
Media (red) - Albert Scherzer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im Rahmen der
Niederlassungsfreiheit gem Wiener Ausländergrunderwerbsgesetz</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Der Vertrag ist darauf abgestimmt, dass als Käufer eine natürliche
Person mit Staatsangehörigkeit eines Mitgliedsstaates der
Europäischen Union auftritt und im Rahmen der
Niederlassungsfreiheit erwirbt.</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geboren am 01.09.1941</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Petra Müller, geboren am 21.08.1973</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Andrea Gebarsis, geboren am 22.08.1964</w:t>
      </w:r>
      <w:r>
        <w:rPr>
          <w:rFonts w:ascii="Arial" w:hAnsi="Arial" w:eastAsia="Arial" w:cs="Arial"/>
          <w:color w:val="000000"/>
          <w:sz w:val="20"/>
          <w:szCs w:val="20"/>
        </w:rPr>
        <w:br/>
        <w:t xml:space="preserve">Grinzinger Allee 102–104/8/22</w:t>
      </w:r>
      <w:r>
        <w:rPr>
          <w:rFonts w:ascii="Arial" w:hAnsi="Arial" w:eastAsia="Arial" w:cs="Arial"/>
          <w:color w:val="000000"/>
          <w:sz w:val="20"/>
          <w:szCs w:val="20"/>
        </w:rPr>
        <w:br/>
        <w:t xml:space="preserve">1190 Wien</w:t>
      </w:r>
      <w:r>
        <w:rPr>
          <w:rFonts w:ascii="Arial" w:hAnsi="Arial" w:eastAsia="Arial" w:cs="Arial"/>
          <w:color w:val="000000"/>
          <w:sz w:val="20"/>
          <w:szCs w:val="20"/>
        </w:rPr>
        <w:br/>
        <w:t xml:space="preserve">als „Käuferin“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geboren am 01.09.1941 und Petra Müller, geboren am
21.08.1973 – im Folgenden „Verkäufer“ genannt – sind Eigentümer
nachstehender Liegenschaftsanteile:</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01501 Gersthof</w:t>
            </w:r>
            <w:r>
              <w:rPr>
                <w:rFonts w:ascii="Arial" w:hAnsi="Arial" w:eastAsia="Arial" w:cs="Arial"/>
                <w:color w:val="000000"/>
                <w:position w:val="0"/>
                <w:sz w:val="20"/>
                <w:szCs w:val="20"/>
                <w:shd w:val="clear" w:color="auto" w:fill="FFFFFF"/>
              </w:rPr>
              <w:br/>
              <w:t xml:space="preserve">BEZIRKSGERICHT Döbling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ABFRAGEDATUM 2019-10-10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4867/2007</w:t>
            </w:r>
            <w:r>
              <w:rPr>
                <w:rFonts w:ascii="Arial" w:hAnsi="Arial" w:eastAsia="Arial" w:cs="Arial"/>
                <w:color w:val="000000"/>
                <w:position w:val="0"/>
                <w:sz w:val="20"/>
                <w:szCs w:val="20"/>
                <w:shd w:val="clear" w:color="auto" w:fill="FFFFFF"/>
              </w:rPr>
              <w:br/>
              <w:t xml:space="preserve">WOHNUNGSEIGENTUM</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Liegenschaftsanteile, mit den Wohnungseigentum an W 4 samt
Stellplatz 8 untrennbar verbunden sind, bilden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der kaufgegenständlichen Liegenschaft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r>
                    <w:rPr>
                      <w:rFonts w:ascii="Arial" w:hAnsi="Arial" w:eastAsia="Arial" w:cs="Arial"/>
                      <w:color w:val="000000"/>
                      <w:position w:val="0"/>
                      <w:sz w:val="20"/>
                      <w:szCs w:val="20"/>
                      <w:shd w:val="clear" w:color="auto" w:fill="FFFFFF"/>
                    </w:rPr>
                    <w:br/>
                    <w:t xml:space="preserve">PFANDRECHT Höchstbetrag 2,700.000,00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r>
                    <w:rPr>
                      <w:rFonts w:ascii="Arial" w:hAnsi="Arial" w:eastAsia="Arial" w:cs="Arial"/>
                      <w:color w:val="000000"/>
                      <w:position w:val="0"/>
                      <w:sz w:val="20"/>
                      <w:szCs w:val="20"/>
                      <w:shd w:val="clear" w:color="auto" w:fill="FFFFFF"/>
                    </w:rPr>
                    <w:br/>
                    <w:t xml:space="preserve">PFANDRECHT 500.000,00</w:t>
                  </w:r>
                  <w:r>
                    <w:rPr>
                      <w:rFonts w:ascii="Arial" w:hAnsi="Arial" w:eastAsia="Arial" w:cs="Arial"/>
                      <w:color w:val="000000"/>
                      <w:position w:val="0"/>
                      <w:sz w:val="20"/>
                      <w:szCs w:val="20"/>
                      <w:shd w:val="clear" w:color="auto" w:fill="FFFFFF"/>
                    </w:rPr>
                    <w:br/>
                    <w:t xml:space="preserve">12 % Z, 5 % VuZZ, NGS 100.000,00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r>
                    <w:rPr>
                      <w:rFonts w:ascii="Arial" w:hAnsi="Arial" w:eastAsia="Arial" w:cs="Arial"/>
                      <w:color w:val="000000"/>
                      <w:position w:val="0"/>
                      <w:sz w:val="20"/>
                      <w:szCs w:val="20"/>
                      <w:shd w:val="clear" w:color="auto" w:fill="FFFFFF"/>
                    </w:rPr>
                    <w:br/>
                    <w:t xml:space="preserve">PFANDRECHT 100.000,00</w:t>
                  </w:r>
                  <w:r>
                    <w:rPr>
                      <w:rFonts w:ascii="Arial" w:hAnsi="Arial" w:eastAsia="Arial" w:cs="Arial"/>
                      <w:color w:val="000000"/>
                      <w:position w:val="0"/>
                      <w:sz w:val="20"/>
                      <w:szCs w:val="20"/>
                      <w:shd w:val="clear" w:color="auto" w:fill="FFFFFF"/>
                    </w:rPr>
                    <w:br/>
                    <w:t xml:space="preserve">12 % Z, 5 % VuZZ, NGS 20.000,00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Lasten werden von der Käuferin
nicht übernommen. Die Pfandrechte sub C-LNR 4a, 5a und 6a werden
zulasten des Kaufpreises gelöscht.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an Andrea Gebarsis,
geboren am 22.08.1964 – im Folgenden kurz „Käuferin“ genannt – und
diese kauft und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binnen drei Wochen nach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Vertragsstichtag</w:t>
      </w:r>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
Bis dahin entstandene Lasten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Verkäufer aus einem Reparatur- bzw Instandhaltungsfonds oder aus
einer Betriebskostenabrechnung steht ohne weitere Verrechnung der
Käuferin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(BLZ 12000) mit der
Kontonummer 00000000000000000 zu überweisen. 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den für
Grunderwerbsteuer und Eintragungsgebühr erforderlichen Betrag von
EUR 9.890,– (in Worten: neuntausendachthundertneunzig Euro)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2152062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21520629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4616805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angereifter Zinsen jedoch abzüglich
Kapitalertragsteuer und Bankspesen auf ein von den Verkäufern
bekanntzugebendes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unter Setzung einer Nachfrist von einer
Woche vom Vertrag durch schriftliche Erklärung an die Käuferin zu
Handen des Treuhänders (und nur in dieser Weise) zurücktreten.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gem § 10
GrEStG beim Finanzamt für Gebühren, Verkehrssteuern und Glücksspiel
anzuzeigen oder eine Selbstberechnung der Grunderwerbsteuer und
Eintragungsgebühr gem § 12 GrEStG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Beschaffenheit und Verwendungsfähigkeit
des Vertragsgegenstandes,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Bauaufträge bestehen und das Objekt nicht
unter Denkmalschutz steht.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ferner die Haftung dafür, dass im
Zusammenhang mit der vertragsgegenständlichen Wohnung keine offenen
Versicherungsprämien, Betriebskosten, Steuern oder sonstige
Abgaben, welcher Art auch immer, bestehen.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der Käuferin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Sämtliche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bevollmächtigen den genannten Rechtsanwalt
hiermit unwiderruflich und über ihren Tod hinaus, alle Erklärungen
und Ergänzungen dieses Kaufvertrages und der Aufsandungserklärung
vorzunehmen, die zu einer etwa erforderlichen
grundverkehrsbehördlichen Genehmigung und zur grundbücherlichen
Durchführung notwendig sind.</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genanntem Rechtsanwalt
überhaupt die Vollmacht, sie im Zusammenhang mit der Abwicklung
dieses Vertrages gegenüber Gerichten und Behörden sowie
Kreditinstitute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Kaufvertrages, der
Treuhandschaft und der grundbücherlichen Durchführung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im Zusammenhang mit einer allfälligen
Selbstberechnung der Immobilienertragssteuer tragen die
Verkäufer.</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und Vertretung
der Verkäuferseite übernehmen die Verkäufer.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geboren am 01.09.1941 und Petra
Müller, geboren am 21.08.1973 ihre Einwilligung, dass aufgrund
dieses Vertrages ob nachstehender Liegenschaft:</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01501 Gersthof</w:t>
            </w:r>
            <w:r>
              <w:rPr>
                <w:rFonts w:ascii="Arial" w:hAnsi="Arial" w:eastAsia="Arial" w:cs="Arial"/>
                <w:color w:val="000000"/>
                <w:position w:val="0"/>
                <w:sz w:val="20"/>
                <w:szCs w:val="20"/>
                <w:shd w:val="clear" w:color="auto" w:fill="FFFFFF"/>
              </w:rPr>
              <w:br/>
              <w:t xml:space="preserve">BEZIRKSGERICHT Döbling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ABFRAGEDATUM 2019-10-10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4867/2007</w:t>
            </w:r>
            <w:r>
              <w:rPr>
                <w:rFonts w:ascii="Arial" w:hAnsi="Arial" w:eastAsia="Arial" w:cs="Arial"/>
                <w:color w:val="000000"/>
                <w:position w:val="0"/>
                <w:sz w:val="20"/>
                <w:szCs w:val="20"/>
                <w:shd w:val="clear" w:color="auto" w:fill="FFFFFF"/>
              </w:rPr>
              <w:br/>
              <w:t xml:space="preserve">WOHNUNGSEIGENTUM</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w:t>
      </w:r>
    </w:p>
    <w:p>
      <w:pPr>
        <w:numPr>
          <w:ilvl w:val="0"/>
          <w:numId w:val="810590888"/>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Andrea Gebarsis, geboren am 22.08.1964</w:t>
      </w:r>
      <w:r>
        <w:rPr>
          <w:rFonts w:ascii="Arial" w:hAnsi="Arial" w:eastAsia="Arial" w:cs="Arial"/>
          <w:color w:val="000000"/>
          <w:sz w:val="20"/>
          <w:szCs w:val="20"/>
        </w:rPr>
        <w:br/>
        <w:t xml:space="preserve">Grinzinger Allee 102–104/8/22</w:t>
      </w:r>
      <w:r>
        <w:rPr>
          <w:rFonts w:ascii="Arial" w:hAnsi="Arial" w:eastAsia="Arial" w:cs="Arial"/>
          <w:color w:val="000000"/>
          <w:sz w:val="20"/>
          <w:szCs w:val="20"/>
        </w:rPr>
        <w:br/>
        <w:t xml:space="preserve">1190 Wien</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könne und möge.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19236099" w:name="link1"/>
      <w:bookmarkEnd w:id="19236099"/>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gem § 70 Abs 1 VersVG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71110147" w:name="link3"/>
      <w:bookmarkEnd w:id="71110147"/>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Verkäufer legen einen Energieausweis im Sinne des
Energieausweis-Vorlage-Gesetzes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Der Käuferin ist der Inhalt des Wohnungseigentumsvertrages,
Beilage ./B, bekannt. Sie erklärt,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Staatsangehörige von Portugal zu sein.</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den Erwerb gem § 3 Z 2
lit b Wiener Ausländergrunderwerbsgesetz im Rahmen der
Niederlassungsfreiheit zu tätigen.</w:t>
      </w:r>
    </w:p>
    <w:p>
      <w:pPr>
        <w:widowControl w:val="on"/>
        <w:pBdr/>
        <w:spacing w:before="140" w:after="240" w:line="288" w:lineRule="auto"/>
        <w:ind w:left="0" w:right="0"/>
        <w:jc w:val="left"/>
      </w:pPr>
      <w:r>
        <w:rPr>
          <w:rFonts w:ascii="Arial" w:hAnsi="Arial" w:eastAsia="Arial" w:cs="Arial"/>
          <w:color w:val="000000"/>
          <w:sz w:val="20"/>
          <w:szCs w:val="20"/>
        </w:rPr>
        <w:t xml:space="preserve">Die Rechtswirksamkeit dieses Kaufvertrages ist durch das
Vorliegen der rechtskräftigen ausländergrundverkehrsbehördlichen
Genehmigung bzw Vorliegen einer Negativbestätigung der zuständigen
Ausländergrundverkehrskommission (MA 35) aufschiebend bedingt. Die
Einholung der Zustimmung der zuständigen
Ausländergrundverkehrskommission obliegt der Käuferin. Die
Verkäufer werden die Käuferin dabei bestmöglich unterstützen und
allfällig erforderliche Erklärungen abgeben und die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rechtskräftige Genehmigung des Vertrages durch die
zuständige Ausländergrundverkehrskommission nicht binnen längstens
sechs Monaten ab Antragstellung vorliegen, sind die Verkäufer
berechtigt, schriftlich (auch per E-Mail) gegenüber der Käuferin zu
erklären, dass sie sich nicht länger an den Kaufvertrag gebunden
erachtet. Diese schriftliche Erklärung kann bis zum Vorliegen der
rechtskräftigen Genehmigung gegenüber der Käuferin abgegeben
werden, wobei für die Rechtzeitigkeit das Einlangen der Erklärung
bei den Verkäufern maßgeblich ist. Das diesbezügliche Verfahren
wird auf Risiko der Käuferin geführt. Die Käuferin nimmt zustimmend
zur Kenntnis, dass allfällig im Zuge des Bewilligungsverfahrens ein
Nachweis über die Herkunft des Kaufpreises von den ermittelnden
Behörden verlangt wird, und die Verkäufer verpflichten sich, einen
solchen Nachweis unverzüglich zu erbringen.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Unwirksamkeit oder Auflösung dieses Vertrages
wird Folgendes vereinbart:</w:t>
      </w:r>
    </w:p>
    <w:p>
      <w:pPr>
        <w:numPr>
          <w:ilvl w:val="0"/>
          <w:numId w:val="120803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120803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120803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numPr>
          <w:ilvl w:val="0"/>
          <w:numId w:val="1208035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oder einzelne der baulichen Maßnahmen sind auf Verlangen
den Verkäufern rückzubauen.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t>
      </w:r>
      <w:r>
        <w:rPr>
          <w:rFonts w:ascii="Arial" w:hAnsi="Arial" w:eastAsia="Arial" w:cs="Arial"/>
          <w:b/>
          <w:bCs/>
          <w:color w:val="363A40"/>
          <w:sz w:val="28"/>
          <w:szCs w:val="28"/>
        </w:rPr>
        <w:t xml:space="preserve">Immobilienertragsteuer</w:t>
      </w:r>
      <w:bookmarkStart w:id="9239598" w:name="link5"/>
      <w:bookmarkEnd w:id="9239598"/>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Verkäufer nehmen zur Kenntnis, dass der Kaufpreis der
Immobilienertragsteuer nach dem Einkommensteuergesetz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wurden vom Vertragserrichter über §§ 30 ff
EStG, insbesondere über die Verpflichtung zur Entrichtung der
Immobilienertragssteuer, belehrt.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hiermit an Eides statt, dass der
Vertragsgegenstand innerhalb der letzten zehn Jahre vor der
Veräußerung mindestens fünf Jahre durchgehend als Hauptwohnsitz
gedient hat und den Hauptwohnsitz mit der Unterfertigung dieses
Vertrages aufzugeben. Die Einkünfte aus dem Veräußerungsgeschäft
sind daher gem § 30 Abs 2 Z 1 lit b EStG
steuerbefreit.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beauftragen den Vertragserrichter, die
entsprechende Meldung beim zuständigen Finanzamt vorzunehmen.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Treuhandvereinbarung</w:t>
      </w:r>
    </w:p>
    <w:p>
      <w:pPr>
        <w:widowControl w:val="on"/>
        <w:pBdr/>
        <w:spacing w:before="140" w:after="240" w:line="288" w:lineRule="auto"/>
        <w:ind w:left="0" w:right="0"/>
        <w:jc w:val="left"/>
      </w:pPr>
      <w:r>
        <w:rPr>
          <w:rFonts w:ascii="Arial" w:hAnsi="Arial" w:eastAsia="Arial" w:cs="Arial"/>
          <w:color w:val="000000"/>
          <w:sz w:val="20"/>
          <w:szCs w:val="20"/>
        </w:rPr>
        <w:t xml:space="preserve">Die grundbücherliche Durchführung des gegenständlichen
Kaufvertrages erfolgt durch den Treuhänder Rechtsanwalt Dr.
Hans-Peter Musteranwalt, 1010 Wien, Musterstraße 25, der auch
Vertragsverfasser ist.</w:t>
      </w:r>
    </w:p>
    <w:p>
      <w:pPr>
        <w:widowControl w:val="on"/>
        <w:pBdr/>
        <w:spacing w:before="140" w:after="240" w:line="288" w:lineRule="auto"/>
        <w:ind w:left="0" w:right="0"/>
        <w:jc w:val="left"/>
      </w:pPr>
      <w:r>
        <w:rPr>
          <w:rFonts w:ascii="Arial" w:hAnsi="Arial" w:eastAsia="Arial" w:cs="Arial"/>
          <w:color w:val="000000"/>
          <w:sz w:val="20"/>
          <w:szCs w:val="20"/>
        </w:rPr>
        <w:t xml:space="preserve">Diese Treuhandvereinbarung wird in Entsprechung des Statuts 2010
der Treuhandeinrichtung der Rechtsanwaltskammer Wien,
„Elektronisches Anwaltliches Treuhandbuch (eATHB)“ 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Käuferin beauftragt und bevollmächtigt den Treuhänder
unwiderruflich den Kaufvertrag nach Maßgabe dieser
Treuhandvereinbarung grundbücherlich durchzuführen.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ist verpflichtet, nach Vorliegen der notwendigen
und grundbuchsfähig unterfertigten Kaufvertragsunterlagen sowie
nach Sicherstellung der Kaufpreiszahlung und nach Bezahlung der
Grunderwerbsteuer sowie Eintragungsgebühr die grundbücherliche
Einverleibung des Eigentumsrechtes zugunsten der Käuferin zu
veranlassen.</w:t>
      </w:r>
    </w:p>
    <w:p>
      <w:pPr>
        <w:widowControl w:val="on"/>
        <w:pBdr/>
        <w:spacing w:before="140" w:after="240" w:line="288" w:lineRule="auto"/>
        <w:ind w:left="0" w:right="0"/>
        <w:jc w:val="left"/>
      </w:pPr>
      <w:r>
        <w:rPr>
          <w:rFonts w:ascii="Arial" w:hAnsi="Arial" w:eastAsia="Arial" w:cs="Arial"/>
          <w:color w:val="000000"/>
          <w:sz w:val="20"/>
          <w:szCs w:val="20"/>
        </w:rPr>
        <w:t xml:space="preserve">Das Treuhandkonto sowie das Konto, auf welches der Kaufpreis
ausbezahlt werden soll, werden in einer Kammermeldung der
Rechtsanwaltskammer Wien gemeldet.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im Zusammenhang mit der Meldung der Treuhandschaft die zur
Abwicklung erforderlichen Daten elektronisch gespeichert,
verarbeitet und der Rechtsanwaltskammer Wien gemeldet werden. Sie
verpflichten sich, die dafür erforderlichen Formulare zu
unterfertigen.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erteilen hiermit weiters dem Treuhänder die
Befreiung von seiner Verpflichtung zur Verschwiegenheit gegenüber
der Treuhandeinrichtung (eATHB) im Zusammenhang mit einer
Offenlegung bei Nachschau sowie Überprüfung der ordnungsgemäßen
Abwicklung der übernommenen Treuhandschaft durch Erteilung
entsprechender Auskünfte und zur Einsichtnahme in die
Unterlagen.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weiters, den Treuhänder von seiner
Verschwiegenheitsverpflichtung im Zusammenhang mit den ihn
treffenden Offenlegungspflichten gem §§ 40, 41
Bankwesengesetz (BWG) gegenüber Kredit- und Finanzinstituten und
der Prüf-, Feststellungs- und Meldepflicht gem §§ 8a, 8b
und 8c Rechtsanwaltsordnung (RAO) zu entbinden.</w:t>
      </w:r>
    </w:p>
    <w:p>
      <w:pPr>
        <w:widowControl w:val="on"/>
        <w:pBdr/>
        <w:spacing w:before="140" w:after="240" w:line="288" w:lineRule="auto"/>
        <w:ind w:left="0" w:right="0"/>
        <w:jc w:val="left"/>
      </w:pPr>
      <w:r>
        <w:rPr>
          <w:rFonts w:ascii="Arial" w:hAnsi="Arial" w:eastAsia="Arial" w:cs="Arial"/>
          <w:color w:val="000000"/>
          <w:sz w:val="20"/>
          <w:szCs w:val="20"/>
        </w:rPr>
        <w:t xml:space="preserve">Den Vertragsparteien wurde das Statut 2010 der
Treuhandeinrichtung der Rechtsanwaltskammer Wien „Elektronisches
Anwaltliches Treuhandbuch“ (eATHB) vor Übernahme dieses
Treuhandauftrages durch Übergabe einer schriftlichen Ausfertigung
zur Kenntnis gebracht und quittieren diese darüber durch ihre
Unterschrift.</w:t>
      </w:r>
    </w:p>
    <w:p>
      <w:pPr>
        <w:widowControl w:val="on"/>
        <w:pBdr/>
        <w:spacing w:before="140" w:after="240" w:line="288" w:lineRule="auto"/>
        <w:ind w:left="0" w:right="0"/>
        <w:jc w:val="left"/>
      </w:pPr>
      <w:r>
        <w:rPr>
          <w:rFonts w:ascii="Arial" w:hAnsi="Arial" w:eastAsia="Arial" w:cs="Arial"/>
          <w:color w:val="000000"/>
          <w:sz w:val="20"/>
          <w:szCs w:val="20"/>
        </w:rPr>
        <w:t xml:space="preserve">Die Beauftragung des Treuhänders ist unwiderruflich und wirkt
über den Tod der Käuferin hinaus. Die Käuferin verpflichtet sich
vor Erfüllung der Treuhandschaft, ohne ausdrückliche Zustimmung des
Treuhänders nicht über den Kaufgegenstand zu verfügen.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Laesio Enormis</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im Hinblick auf das Rechtsmittel
wegen Verkürzung über die Hälfte des wahren Wertes, dass ihnen nach
den gegebenen Verhältnissen der tatsächliche Wert des Kaufobjektes
bekannt ist. Die Vertragsparteien wurden über das Rechtsmittel
wegen Verkürzung über die Hälfte des wahren Wertes
rechtsbelehrt.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Sonstiges</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140" w:after="240" w:line="288" w:lineRule="auto"/>
        <w:ind w:left="0" w:right="0"/>
        <w:jc w:val="left"/>
      </w:pPr>
      <w:r>
        <w:rPr>
          <w:rFonts w:ascii="Arial" w:hAnsi="Arial" w:eastAsia="Arial" w:cs="Arial"/>
          <w:color w:val="000000"/>
          <w:sz w:val="20"/>
          <w:szCs w:val="20"/>
        </w:rPr>
        <w:t xml:space="preserve">Alle in diesem Vertrag enthaltenen Rechte und Pflichten gehen
von den Vertragsparteien auf deren Rechtsnachfolger über bzw sind
auf diese mit der Verpflichtung zu überbinden ihrerseits die Rechte
und Pflichten aus diesem Vertrag auf deren Rechtsnachfolger zu
überbinden.</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oder
ungültig werden, so berührt dies die Wirksamkeit der übrigen
Bestimmungen nicht. Die Vertragsparteien verpflichten sich,
anstelle der unwirksamen Bestimmung bzw Bestimmungen unverzüglich
eine Ersatzregelung zu vereinbaren, die dem wirtschaftlichen Zweck
der unwirksamen Bestimmung und dem beabsichtigten Parteiwillen und
der Zwecksetzung dieses Vertrages am nächsten kommt.</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Ergänzungen der vorliegenden Urkunde
bedürfen zu ihrer Rechtswirksamkeit der Schriftform. Dies gilt auch
für das einvernehmliche Abgehen von diesem vereinbarten
Formerfordernis. Es bestehen keine mündlichen Nebenabreden zu
diesem Kaufvertrag.</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vereinbaren die Zuständigkeit des sachlich
für … zuständigen Gerichtes für alle Streitigkeiten.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Hans Müller, geboren am 01.09.1941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Petra Müller, geboren am 21.08.1973</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Andrea Gebarsis, geboren am 22.08.1964</w:t>
      </w:r>
    </w:p>
    <w:p>
      <w:pPr>
        <w:widowControl w:val="on"/>
        <w:pBdr/>
        <w:spacing w:before="140" w:after="240" w:line="288" w:lineRule="auto"/>
        <w:ind w:left="0" w:right="0"/>
        <w:jc w:val="left"/>
      </w:pPr>
      <w:r>
        <w:rPr>
          <w:rFonts w:ascii="Arial" w:hAnsi="Arial" w:eastAsia="Arial" w:cs="Arial"/>
          <w:b/>
          <w:bCs/>
          <w:color w:val="000000"/>
          <w:sz w:val="20"/>
          <w:szCs w:val="20"/>
        </w:rPr>
        <w:t xml:space="preserve">Beilagen:</w:t>
      </w:r>
      <w:r>
        <w:rPr>
          <w:rFonts w:ascii="Arial" w:hAnsi="Arial" w:eastAsia="Arial" w:cs="Arial"/>
          <w:color w:val="000000"/>
          <w:sz w:val="20"/>
          <w:szCs w:val="20"/>
        </w:rPr>
        <w:br/>
        <w:t xml:space="preserve">Beilage ./A: Energieausweis</w:t>
      </w:r>
      <w:r>
        <w:rPr>
          <w:rFonts w:ascii="Arial" w:hAnsi="Arial" w:eastAsia="Arial" w:cs="Arial"/>
          <w:color w:val="000000"/>
          <w:sz w:val="20"/>
          <w:szCs w:val="20"/>
        </w:rPr>
        <w:br/>
        <w:t xml:space="preserve">Beilage ./B: Wohnungseigentumsvertrag</w:t>
      </w:r>
      <w:r>
        <w:rPr>
          <w:rFonts w:ascii="Arial" w:hAnsi="Arial" w:eastAsia="Arial" w:cs="Arial"/>
          <w:color w:val="000000"/>
          <w:sz w:val="20"/>
          <w:szCs w:val="20"/>
        </w:rPr>
        <w:br/>
        <w:t xml:space="preserve">Beilage ./C: Lageplan</w:t>
      </w:r>
      <w:r>
        <w:rPr>
          <w:rFonts w:ascii="Arial" w:hAnsi="Arial" w:eastAsia="Arial" w:cs="Arial"/>
          <w:color w:val="000000"/>
          <w:sz w:val="20"/>
          <w:szCs w:val="20"/>
        </w:rPr>
        <w:b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4891157" w:name="note1"/>
            <w:bookmarkEnd w:id="24891157"/>
            <w:bookmarkStart w:id="9347160893723" w:name="note1"/>
            <w:r>
              <w:rPr>
                <w:rFonts w:ascii="Arial" w:hAnsi="Arial" w:eastAsia="Arial" w:cs="Arial"/>
                <w:b/>
                <w:bCs/>
                <w:color w:val="000000"/>
                <w:position w:val="0"/>
                <w:sz w:val="20"/>
                <w:szCs w:val="20"/>
              </w:rPr>
              <w:t xml:space="preserve">[1]</w:t>
            </w:r>
            <w:bookmarkEnd w:id="934716089372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316172" w:name="note2"/>
            <w:bookmarkEnd w:id="13316172"/>
            <w:bookmarkStart w:id="3565336804298" w:name="note2"/>
            <w:r>
              <w:rPr>
                <w:rFonts w:ascii="Arial" w:hAnsi="Arial" w:eastAsia="Arial" w:cs="Arial"/>
                <w:b/>
                <w:bCs/>
                <w:color w:val="000000"/>
                <w:position w:val="0"/>
                <w:sz w:val="20"/>
                <w:szCs w:val="20"/>
              </w:rPr>
              <w:t xml:space="preserve">[2]</w:t>
            </w:r>
            <w:bookmarkEnd w:id="356533680429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Ausländische Staatsbürger, die (Mit)Eigentum, ein Baurecht oder
eine persönliche Dienstbarkeit (wie Wohnungsgebrauchsrecht) an
bebauten oder unbebauten Grundstücken jeder Art in Wien erwerben
möchten oder eine Bestandgabe im Grundbuch eintragen möchten,
benötigen für die Gültigkeit des Rechtsgeschäftes eine Genehmigung
nach dem Wiener Ausländergrunderwerbsgesetz.</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bestimmten Fällen benötigt ein Ausländer keine Genehmigung
bzw es kann eine Negativbestätigung (Bestätigung der
Grundverkehrsbehörde, dass das Rechtsgeschäft von der
Genehmigungspflicht ausgenommen ist) beantragt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folgenden Fällen muss keine Genehmigung beantragt werden:</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Ehegatten oder eingetragene Partner als gemeinsame
Erwerbende auftreten und eine oder einer der beiden die
österreichische Staatsbürgerschaft besitzt</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von Objekten, an denen Wohnungseigentum begründet
werden kann, durch eine Eigentümerpartnerschaft (§ 13 WEG
2002), wenn ein Partner in der Eigentümerpartnerschaft die
österreichische Staatsbürgerschaft besitzt</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durch EWR-Bürger bzw -Bürgerinnen (natürliche und
juristische Personen) und Schweizer natürliche Personen. In diesem
Fall ist weder eine Genehmigung noch eine Negativbestätigung
erforderlich. Auf Antrag kann aber eine Negativbestätigung
ausgestellt werden.</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durch britische Staatsangehörige, die unter das
Austrittsabkommen fallen und damit im Besitz eines
Aufenthaltstitels „Artikel 50 EUV“ für Österreich sind</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sich die Genehmigungsfreiheit aus anderen
staatsvertraglichen Verpflichtungen ergibt</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die Einräumung eines beweglichen Gutes nur gerichtlich
hinterlegt wird (Superädifikat)</w:t>
            </w:r>
          </w:p>
          <w:p>
            <w:pPr>
              <w:numPr>
                <w:ilvl w:val="0"/>
                <w:numId w:val="80932866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Rechtsgeschäften von Todes wegen (Eigentumserwerb aufgrund
einer letztwilligen Verfügung oder einer
Einantwortungsurkunde)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Käuferin ist Staatsangehörige von Portugal, einem
EWR-Mitgliedstaat, sodass weder die Einholung einer Genehmigung
noch einer Negativbestätigung nach dem Wiener
Ausländergrunderwerbsgesetz erforderlich ist. Auf Antrag kann eine
Negativbestätigung ausgestellt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3062481" w:name="note3"/>
            <w:bookmarkEnd w:id="73062481"/>
            <w:bookmarkStart w:id="9207557116331" w:name="note3"/>
            <w:r>
              <w:rPr>
                <w:rFonts w:ascii="Arial" w:hAnsi="Arial" w:eastAsia="Arial" w:cs="Arial"/>
                <w:b/>
                <w:bCs/>
                <w:color w:val="000000"/>
                <w:position w:val="0"/>
                <w:sz w:val="20"/>
                <w:szCs w:val="20"/>
              </w:rPr>
              <w:t xml:space="preserve">[3]</w:t>
            </w:r>
            <w:bookmarkEnd w:id="9207557116331"/>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Energieausweis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118 Abs 5 BO ist der Energieausweis von einem
nach den für die Berufsausübung maßgeblichen Vorschriften
Berechtigten oder einer akkreditierten Prüfstelle auszustellen. Die
Gültigkeitsdauer des Energieausweises beträgt höchstens zehn Jahre.
Gem § 118 a BO hat der Magistrat ein Datenregister
einzurichten und zu führen, das alle Energieausweise für Gebäude in
Wien umfasst (Energieausweisdatenbank).</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656897" w:name="note4"/>
            <w:bookmarkEnd w:id="51656897"/>
            <w:bookmarkStart w:id="7951795978313" w:name="note4"/>
            <w:r>
              <w:rPr>
                <w:rFonts w:ascii="Arial" w:hAnsi="Arial" w:eastAsia="Arial" w:cs="Arial"/>
                <w:b/>
                <w:bCs/>
                <w:color w:val="000000"/>
                <w:position w:val="0"/>
                <w:sz w:val="20"/>
                <w:szCs w:val="20"/>
              </w:rPr>
              <w:t xml:space="preserve">[4]</w:t>
            </w:r>
            <w:bookmarkEnd w:id="795179597831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geltend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582184" w:name="note5"/>
            <w:bookmarkEnd w:id="47582184"/>
            <w:bookmarkStart w:id="7073800250520" w:name="note5"/>
            <w:r>
              <w:rPr>
                <w:rFonts w:ascii="Arial" w:hAnsi="Arial" w:eastAsia="Arial" w:cs="Arial"/>
                <w:b/>
                <w:bCs/>
                <w:color w:val="000000"/>
                <w:position w:val="0"/>
                <w:sz w:val="20"/>
                <w:szCs w:val="20"/>
              </w:rPr>
              <w:t xml:space="preserve">[5]</w:t>
            </w:r>
            <w:bookmarkEnd w:id="7073800250520"/>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Immobilienertragsteuer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unterliegen die Einkünfte aus privaten
Veräußerungen von Immobilien einem besonderen Steuersatz von
30 %. Gem § 30a Abs 2 EStG ist auf Antrag eine
Regelbesteuerung nach dem allgemeinen Tarif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gibt aber Ausnahmen von der Verpflichtung zur Entrichtung der
Immobilienertragsteuer. Bei Einkünften aus der Veräußerung von
Eigentumswohnungen, wenn diese</w:t>
            </w:r>
          </w:p>
          <w:p>
            <w:pPr>
              <w:numPr>
                <w:ilvl w:val="0"/>
                <w:numId w:val="3794139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der Anschaffung oder Fertigstellung bis zur Veräußerung für
mindestens zwei Jahre durchgehend als Hauptwohnsitz gedient haben
und der Hauptwohnsitz aufgegeben wird, oder</w:t>
            </w:r>
          </w:p>
          <w:p>
            <w:pPr>
              <w:numPr>
                <w:ilvl w:val="0"/>
                <w:numId w:val="379413924"/>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innerhalb der letzten zehn Jahre vor der Veräußerung mindestens
fünf Jahre durchgehend als Hauptwohnsitz gedient haben und der
Hauptwohnsitz aufgegeben wird.</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9413924">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0932866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208035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1059088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6168058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52062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190067">
    <w:multiLevelType w:val="hybridMultilevel"/>
    <w:lvl w:ilvl="0" w:tplc="40258346">
      <w:start w:val="1"/>
      <w:numFmt w:val="decimal"/>
      <w:lvlText w:val="%1."/>
      <w:lvlJc w:val="left"/>
      <w:pPr>
        <w:ind w:left="720" w:hanging="360"/>
      </w:pPr>
    </w:lvl>
    <w:lvl w:ilvl="1" w:tplc="40258346" w:tentative="1">
      <w:start w:val="1"/>
      <w:numFmt w:val="lowerLetter"/>
      <w:lvlText w:val="%2."/>
      <w:lvlJc w:val="left"/>
      <w:pPr>
        <w:ind w:left="1440" w:hanging="360"/>
      </w:pPr>
    </w:lvl>
    <w:lvl w:ilvl="2" w:tplc="40258346" w:tentative="1">
      <w:start w:val="1"/>
      <w:numFmt w:val="lowerRoman"/>
      <w:lvlText w:val="%3."/>
      <w:lvlJc w:val="right"/>
      <w:pPr>
        <w:ind w:left="2160" w:hanging="180"/>
      </w:pPr>
    </w:lvl>
    <w:lvl w:ilvl="3" w:tplc="40258346" w:tentative="1">
      <w:start w:val="1"/>
      <w:numFmt w:val="decimal"/>
      <w:lvlText w:val="%4."/>
      <w:lvlJc w:val="left"/>
      <w:pPr>
        <w:ind w:left="2880" w:hanging="360"/>
      </w:pPr>
    </w:lvl>
    <w:lvl w:ilvl="4" w:tplc="40258346" w:tentative="1">
      <w:start w:val="1"/>
      <w:numFmt w:val="lowerLetter"/>
      <w:lvlText w:val="%5."/>
      <w:lvlJc w:val="left"/>
      <w:pPr>
        <w:ind w:left="3600" w:hanging="360"/>
      </w:pPr>
    </w:lvl>
    <w:lvl w:ilvl="5" w:tplc="40258346" w:tentative="1">
      <w:start w:val="1"/>
      <w:numFmt w:val="lowerRoman"/>
      <w:lvlText w:val="%6."/>
      <w:lvlJc w:val="right"/>
      <w:pPr>
        <w:ind w:left="4320" w:hanging="180"/>
      </w:pPr>
    </w:lvl>
    <w:lvl w:ilvl="6" w:tplc="40258346" w:tentative="1">
      <w:start w:val="1"/>
      <w:numFmt w:val="decimal"/>
      <w:lvlText w:val="%7."/>
      <w:lvlJc w:val="left"/>
      <w:pPr>
        <w:ind w:left="5040" w:hanging="360"/>
      </w:pPr>
    </w:lvl>
    <w:lvl w:ilvl="7" w:tplc="40258346" w:tentative="1">
      <w:start w:val="1"/>
      <w:numFmt w:val="lowerLetter"/>
      <w:lvlText w:val="%8."/>
      <w:lvlJc w:val="left"/>
      <w:pPr>
        <w:ind w:left="5760" w:hanging="360"/>
      </w:pPr>
    </w:lvl>
    <w:lvl w:ilvl="8" w:tplc="40258346" w:tentative="1">
      <w:start w:val="1"/>
      <w:numFmt w:val="lowerRoman"/>
      <w:lvlText w:val="%9."/>
      <w:lvlJc w:val="right"/>
      <w:pPr>
        <w:ind w:left="6480" w:hanging="180"/>
      </w:pPr>
    </w:lvl>
  </w:abstractNum>
  <w:abstractNum w:abstractNumId="10190066">
    <w:multiLevelType w:val="hybridMultilevel"/>
    <w:lvl w:ilvl="0" w:tplc="30072457">
      <w:start w:val="1"/>
      <w:numFmt w:val="decimal"/>
      <w:lvlText w:val="%1."/>
      <w:lvlJc w:val="left"/>
      <w:pPr>
        <w:ind w:left="720" w:hanging="360"/>
      </w:pPr>
    </w:lvl>
    <w:lvl w:ilvl="1" w:tplc="30072457" w:tentative="1">
      <w:start w:val="1"/>
      <w:numFmt w:val="lowerLetter"/>
      <w:lvlText w:val="%2."/>
      <w:lvlJc w:val="left"/>
      <w:pPr>
        <w:ind w:left="1440" w:hanging="360"/>
      </w:pPr>
    </w:lvl>
    <w:lvl w:ilvl="2" w:tplc="30072457" w:tentative="1">
      <w:start w:val="1"/>
      <w:numFmt w:val="lowerRoman"/>
      <w:lvlText w:val="%3."/>
      <w:lvlJc w:val="right"/>
      <w:pPr>
        <w:ind w:left="2160" w:hanging="180"/>
      </w:pPr>
    </w:lvl>
    <w:lvl w:ilvl="3" w:tplc="30072457" w:tentative="1">
      <w:start w:val="1"/>
      <w:numFmt w:val="decimal"/>
      <w:lvlText w:val="%4."/>
      <w:lvlJc w:val="left"/>
      <w:pPr>
        <w:ind w:left="2880" w:hanging="360"/>
      </w:pPr>
    </w:lvl>
    <w:lvl w:ilvl="4" w:tplc="30072457" w:tentative="1">
      <w:start w:val="1"/>
      <w:numFmt w:val="lowerLetter"/>
      <w:lvlText w:val="%5."/>
      <w:lvlJc w:val="left"/>
      <w:pPr>
        <w:ind w:left="3600" w:hanging="360"/>
      </w:pPr>
    </w:lvl>
    <w:lvl w:ilvl="5" w:tplc="30072457" w:tentative="1">
      <w:start w:val="1"/>
      <w:numFmt w:val="lowerRoman"/>
      <w:lvlText w:val="%6."/>
      <w:lvlJc w:val="right"/>
      <w:pPr>
        <w:ind w:left="4320" w:hanging="180"/>
      </w:pPr>
    </w:lvl>
    <w:lvl w:ilvl="6" w:tplc="30072457" w:tentative="1">
      <w:start w:val="1"/>
      <w:numFmt w:val="decimal"/>
      <w:lvlText w:val="%7."/>
      <w:lvlJc w:val="left"/>
      <w:pPr>
        <w:ind w:left="5040" w:hanging="360"/>
      </w:pPr>
    </w:lvl>
    <w:lvl w:ilvl="7" w:tplc="30072457" w:tentative="1">
      <w:start w:val="1"/>
      <w:numFmt w:val="lowerLetter"/>
      <w:lvlText w:val="%8."/>
      <w:lvlJc w:val="left"/>
      <w:pPr>
        <w:ind w:left="5760" w:hanging="360"/>
      </w:pPr>
    </w:lvl>
    <w:lvl w:ilvl="8" w:tplc="30072457" w:tentative="1">
      <w:start w:val="1"/>
      <w:numFmt w:val="lowerRoman"/>
      <w:lvlText w:val="%9."/>
      <w:lvlJc w:val="right"/>
      <w:pPr>
        <w:ind w:left="6480" w:hanging="180"/>
      </w:pPr>
    </w:lvl>
  </w:abstractNum>
  <w:abstractNum w:abstractNumId="348677098">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4794088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190065">
    <w:multiLevelType w:val="hybridMultilevel"/>
    <w:lvl w:ilvl="0" w:tplc="49385041">
      <w:start w:val="1"/>
      <w:numFmt w:val="decimal"/>
      <w:lvlText w:val="%1."/>
      <w:lvlJc w:val="left"/>
      <w:pPr>
        <w:ind w:left="720" w:hanging="360"/>
      </w:pPr>
    </w:lvl>
    <w:lvl w:ilvl="1" w:tplc="49385041" w:tentative="1">
      <w:start w:val="1"/>
      <w:numFmt w:val="lowerLetter"/>
      <w:lvlText w:val="%2."/>
      <w:lvlJc w:val="left"/>
      <w:pPr>
        <w:ind w:left="1440" w:hanging="360"/>
      </w:pPr>
    </w:lvl>
    <w:lvl w:ilvl="2" w:tplc="49385041" w:tentative="1">
      <w:start w:val="1"/>
      <w:numFmt w:val="lowerRoman"/>
      <w:lvlText w:val="%3."/>
      <w:lvlJc w:val="right"/>
      <w:pPr>
        <w:ind w:left="2160" w:hanging="180"/>
      </w:pPr>
    </w:lvl>
    <w:lvl w:ilvl="3" w:tplc="49385041" w:tentative="1">
      <w:start w:val="1"/>
      <w:numFmt w:val="decimal"/>
      <w:lvlText w:val="%4."/>
      <w:lvlJc w:val="left"/>
      <w:pPr>
        <w:ind w:left="2880" w:hanging="360"/>
      </w:pPr>
    </w:lvl>
    <w:lvl w:ilvl="4" w:tplc="49385041" w:tentative="1">
      <w:start w:val="1"/>
      <w:numFmt w:val="lowerLetter"/>
      <w:lvlText w:val="%5."/>
      <w:lvlJc w:val="left"/>
      <w:pPr>
        <w:ind w:left="3600" w:hanging="360"/>
      </w:pPr>
    </w:lvl>
    <w:lvl w:ilvl="5" w:tplc="49385041" w:tentative="1">
      <w:start w:val="1"/>
      <w:numFmt w:val="lowerRoman"/>
      <w:lvlText w:val="%6."/>
      <w:lvlJc w:val="right"/>
      <w:pPr>
        <w:ind w:left="4320" w:hanging="180"/>
      </w:pPr>
    </w:lvl>
    <w:lvl w:ilvl="6" w:tplc="49385041" w:tentative="1">
      <w:start w:val="1"/>
      <w:numFmt w:val="decimal"/>
      <w:lvlText w:val="%7."/>
      <w:lvlJc w:val="left"/>
      <w:pPr>
        <w:ind w:left="5040" w:hanging="360"/>
      </w:pPr>
    </w:lvl>
    <w:lvl w:ilvl="7" w:tplc="49385041" w:tentative="1">
      <w:start w:val="1"/>
      <w:numFmt w:val="lowerLetter"/>
      <w:lvlText w:val="%8."/>
      <w:lvlJc w:val="left"/>
      <w:pPr>
        <w:ind w:left="5760" w:hanging="360"/>
      </w:pPr>
    </w:lvl>
    <w:lvl w:ilvl="8" w:tplc="49385041" w:tentative="1">
      <w:start w:val="1"/>
      <w:numFmt w:val="lowerRoman"/>
      <w:lvlText w:val="%9."/>
      <w:lvlJc w:val="right"/>
      <w:pPr>
        <w:ind w:left="6480" w:hanging="180"/>
      </w:pPr>
    </w:lvl>
  </w:abstractNum>
  <w:abstractNum w:abstractNumId="10190064">
    <w:multiLevelType w:val="hybridMultilevel"/>
    <w:lvl w:ilvl="0" w:tplc="810476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190064">
    <w:abstractNumId w:val="10190064"/>
  </w:num>
  <w:num w:numId="10190065">
    <w:abstractNumId w:val="10190065"/>
  </w:num>
  <w:num w:numId="847940889">
    <w:abstractNumId w:val="847940889"/>
  </w:num>
  <w:num w:numId="348677098">
    <w:abstractNumId w:val="348677098"/>
  </w:num>
  <w:num w:numId="10190066">
    <w:abstractNumId w:val="10190066"/>
  </w:num>
  <w:num w:numId="10190067">
    <w:abstractNumId w:val="10190067"/>
  </w:num>
  <w:num w:numId="215206292">
    <w:abstractNumId w:val="215206292"/>
  </w:num>
  <w:num w:numId="461680584">
    <w:abstractNumId w:val="461680584"/>
  </w:num>
  <w:num w:numId="810590888">
    <w:abstractNumId w:val="810590888"/>
  </w:num>
  <w:num w:numId="12080350">
    <w:abstractNumId w:val="12080350"/>
  </w:num>
  <w:num w:numId="809328665">
    <w:abstractNumId w:val="809328665"/>
  </w:num>
  <w:num w:numId="379413924">
    <w:abstractNumId w:val="3794139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51971320" Type="http://schemas.openxmlformats.org/officeDocument/2006/relationships/numbering" Target="numbering.xml"/><Relationship Id="rId41676748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