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2586221" w:name="document"/>
    <w:bookmarkEnd w:id="52586221"/>
    <w:p/>
    <w:p>
      <w:pPr>
        <w:widowControl w:val="on"/>
        <w:pBdr/>
        <w:spacing w:before="0" w:after="280" w:line="240" w:lineRule="auto"/>
        <w:ind w:left="0" w:right="0"/>
        <w:jc w:val="left"/>
      </w:pPr>
      <w:r>
        <w:rPr>
          <w:rFonts w:ascii="Arial" w:hAnsi="Arial" w:eastAsia="Arial" w:cs="Arial"/>
          <w:color w:val="363A40"/>
          <w:sz w:val="24"/>
          <w:szCs w:val="24"/>
        </w:rPr>
        <w:t xml:space="preserve">Dokument-ID: 585671 | Claudia Sorgo - Astrid
Maitz - Albert Scherzer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Checkliste für Schenkungsverträge</w:t>
      </w:r>
    </w:p>
    <w:p>
      <w:pPr>
        <w:widowControl w:val="on"/>
        <w:pBdr/>
        <w:spacing w:before="140" w:after="240" w:line="288" w:lineRule="auto"/>
        <w:ind w:left="0" w:right="0"/>
        <w:jc w:val="left"/>
      </w:pPr>
      <w:r>
        <w:rPr>
          <w:rFonts w:ascii="Arial" w:hAnsi="Arial" w:eastAsia="Arial" w:cs="Arial"/>
          <w:color w:val="000000"/>
          <w:sz w:val="20"/>
          <w:szCs w:val="20"/>
        </w:rPr>
        <w:t xml:space="preserve">(Was man bei einem Schenkungsvertragzumindest beachten soll)</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 1 Präambel</w:t>
      </w:r>
    </w:p>
    <w:p>
      <w:pPr>
        <w:numPr>
          <w:ilvl w:val="0"/>
          <w:numId w:val="9804555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Geschenkgeber …</w:t>
      </w:r>
    </w:p>
    <w:p>
      <w:pPr>
        <w:numPr>
          <w:ilvl w:val="0"/>
          <w:numId w:val="9804555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Geschenknehmer … Geburtsdatum?</w:t>
      </w:r>
    </w:p>
    <w:p>
      <w:pPr>
        <w:numPr>
          <w:ilvl w:val="0"/>
          <w:numId w:val="9804555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Vertretungsverhältnis?</w:t>
      </w:r>
    </w:p>
    <w:p>
      <w:pPr>
        <w:numPr>
          <w:ilvl w:val="0"/>
          <w:numId w:val="9804555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Minderjährigkeit?</w:t>
      </w:r>
    </w:p>
    <w:p>
      <w:pPr>
        <w:numPr>
          <w:ilvl w:val="0"/>
          <w:numId w:val="9804555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Formvorschriften sind zu beachten? (Notariatsakt?)</w:t>
      </w:r>
    </w:p>
    <w:p>
      <w:pPr>
        <w:numPr>
          <w:ilvl w:val="0"/>
          <w:numId w:val="980455544"/>
        </w:numPr>
        <w:spacing w:before="0" w:after="0" w:line="288" w:lineRule="auto"/>
        <w:jc w:val="left"/>
        <w:rPr>
          <w:rFonts w:ascii="Arial" w:hAnsi="Arial" w:eastAsia="Arial" w:cs="Arial"/>
          <w:color w:val="000000"/>
          <w:sz w:val="20"/>
          <w:szCs w:val="20"/>
        </w:rPr>
      </w:pPr>
    </w:p>
    <w:p>
      <w:pPr>
        <w:widowControl w:val="on"/>
        <w:pBdr/>
        <w:spacing w:before="140" w:after="240" w:line="288" w:lineRule="auto"/>
        <w:ind w:left="0" w:right="0"/>
        <w:jc w:val="left"/>
      </w:pPr>
      <w:r>
        <w:rPr>
          <w:rFonts w:ascii="Arial" w:hAnsi="Arial" w:eastAsia="Arial" w:cs="Arial"/>
          <w:color w:val="000000"/>
          <w:sz w:val="20"/>
          <w:szCs w:val="20"/>
        </w:rPr>
        <w:t xml:space="preserve">Motive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2 Geschenkgegenstand</w:t>
      </w:r>
    </w:p>
    <w:p>
      <w:pPr>
        <w:numPr>
          <w:ilvl w:val="0"/>
          <w:numId w:val="377198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Genaue Beschreibung (nur Sachen können geschenkt werden, nicht
„… das ganze Vermögen“)</w:t>
      </w:r>
    </w:p>
    <w:p>
      <w:pPr>
        <w:numPr>
          <w:ilvl w:val="0"/>
          <w:numId w:val="377198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Ggf negative Abgrenzungen: Was gehört nicht dazu?</w:t>
      </w:r>
    </w:p>
    <w:p>
      <w:pPr>
        <w:numPr>
          <w:ilvl w:val="0"/>
          <w:numId w:val="377198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Liegenschaften: Einlagezahl, Grundstücksnummern,
Katastralgemeinde und Grundbuchsgericht, Qualität der
Grundstücke</w:t>
      </w:r>
    </w:p>
    <w:p>
      <w:pPr>
        <w:numPr>
          <w:ilvl w:val="0"/>
          <w:numId w:val="377198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Belastungen?</w:t>
      </w:r>
    </w:p>
    <w:p>
      <w:pPr>
        <w:numPr>
          <w:ilvl w:val="0"/>
          <w:numId w:val="3771986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Zubehör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3 Schenkungsvereinbarung</w:t>
      </w:r>
    </w:p>
    <w:p>
      <w:pPr>
        <w:numPr>
          <w:ilvl w:val="0"/>
          <w:numId w:val="96092402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Hinweis auf die Schenkungsabsicht (Unentgeltlichkeit genügt
nicht!)</w:t>
      </w:r>
    </w:p>
    <w:p>
      <w:pPr>
        <w:numPr>
          <w:ilvl w:val="0"/>
          <w:numId w:val="96092402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Vertragsannahmeerklärung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4 Wirkliche Übergabe</w:t>
      </w:r>
    </w:p>
    <w:p>
      <w:pPr>
        <w:widowControl w:val="on"/>
        <w:pBdr/>
        <w:spacing w:before="140" w:after="240" w:line="288" w:lineRule="auto"/>
        <w:ind w:left="0" w:right="0"/>
        <w:jc w:val="left"/>
      </w:pPr>
      <w:r>
        <w:rPr>
          <w:rFonts w:ascii="Arial" w:hAnsi="Arial" w:eastAsia="Arial" w:cs="Arial"/>
          <w:color w:val="000000"/>
          <w:sz w:val="20"/>
          <w:szCs w:val="20"/>
        </w:rPr>
        <w:t xml:space="preserve">Individualisierung des Übergabevorganges, nämlich zB</w:t>
      </w:r>
    </w:p>
    <w:p>
      <w:pPr>
        <w:numPr>
          <w:ilvl w:val="0"/>
          <w:numId w:val="737475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Liegenschaften zumindest außerbücherliche
Übergabe („Schlüsselübergabe“). Die Erklärung „Übergabe mit
Unterschrift vollzogen“ genügt nicht (gemeinsame Begehung und
Übergabe der Verwaltungsunterlagen ist typische und ausreichende
Übergabshandlung);</w:t>
      </w:r>
    </w:p>
    <w:p>
      <w:pPr>
        <w:numPr>
          <w:ilvl w:val="0"/>
          <w:numId w:val="737475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Forderungen: Übergabe der Schuldurkunde oder Verständigung
des Schuldners;</w:t>
      </w:r>
    </w:p>
    <w:p>
      <w:pPr>
        <w:numPr>
          <w:ilvl w:val="0"/>
          <w:numId w:val="737475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Sparkassenbüchern Übergabe des Sparkassenbuches, bei
Sparbüchern mit Losungswort: Mitteilung des Losungswortes,
ansonsten Einzahlung für den Beschenkten; übersteigt das Guthaben
einen Wert von EUR 15.000,– ist es erforderlich, dass die
Identität des Erwerbers feststeht;</w:t>
      </w:r>
    </w:p>
    <w:p>
      <w:pPr>
        <w:numPr>
          <w:ilvl w:val="0"/>
          <w:numId w:val="737475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Aktien: schriftliche Bevollmächtigung zur Behebung von
Aktien aus einem Bankdepot mit Ausfolgungsauftrag an die Bank;</w:t>
      </w:r>
    </w:p>
    <w:p>
      <w:pPr>
        <w:numPr>
          <w:ilvl w:val="0"/>
          <w:numId w:val="737475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gemeinsamer Gewahrsam genügt zur wirklichen Übergabe, wenn
der Beschenkte die tatsächliche Herrschaft über die Sache ausüben
kann;</w:t>
      </w:r>
    </w:p>
    <w:p>
      <w:pPr>
        <w:numPr>
          <w:ilvl w:val="0"/>
          <w:numId w:val="737475713"/>
        </w:numPr>
        <w:spacing w:before="0" w:after="0" w:line="288" w:lineRule="auto"/>
        <w:jc w:val="left"/>
        <w:rPr>
          <w:rFonts w:ascii="Arial" w:hAnsi="Arial" w:eastAsia="Arial" w:cs="Arial"/>
          <w:color w:val="000000"/>
          <w:sz w:val="20"/>
          <w:szCs w:val="20"/>
        </w:rPr>
      </w:pPr>
    </w:p>
    <w:p>
      <w:pPr>
        <w:widowControl w:val="on"/>
        <w:pBdr/>
        <w:spacing w:before="140" w:after="240" w:line="288" w:lineRule="auto"/>
        <w:ind w:left="0" w:right="0"/>
        <w:jc w:val="left"/>
      </w:pPr>
      <w:r>
        <w:rPr>
          <w:rFonts w:ascii="Arial" w:hAnsi="Arial" w:eastAsia="Arial" w:cs="Arial"/>
          <w:color w:val="000000"/>
          <w:sz w:val="20"/>
          <w:szCs w:val="20"/>
        </w:rPr>
        <w:t xml:space="preserve">genaue Festlegung des Zeitpunktes.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5 Schenkungsmotiv</w:t>
      </w:r>
    </w:p>
    <w:p>
      <w:pPr>
        <w:widowControl w:val="on"/>
        <w:pBdr/>
        <w:spacing w:before="140" w:after="240" w:line="288" w:lineRule="auto"/>
        <w:ind w:left="0" w:right="0"/>
        <w:jc w:val="left"/>
      </w:pPr>
      <w:r>
        <w:rPr>
          <w:rFonts w:ascii="Arial" w:hAnsi="Arial" w:eastAsia="Arial" w:cs="Arial"/>
          <w:color w:val="000000"/>
          <w:sz w:val="20"/>
          <w:szCs w:val="20"/>
        </w:rPr>
        <w:t xml:space="preserve">Die Anführung der Beweggründe (des Schenkungsmotives) empfiehlt
sich aufgrund der Anfechtungsmöglichkeit wegen Motivirrtums,</w:t>
      </w:r>
    </w:p>
    <w:p>
      <w:pPr>
        <w:numPr>
          <w:ilvl w:val="0"/>
          <w:numId w:val="7712264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zB ein bestimmter Verwendungszweck des Geschenkgegenstandes
(insbesondere wenn es sich um Bargeld handelt)</w:t>
      </w:r>
    </w:p>
    <w:p>
      <w:pPr>
        <w:numPr>
          <w:ilvl w:val="0"/>
          <w:numId w:val="7712264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vielleicht ein anderer Vertragstypus angesichts des
vorliegenden Beweggrundes besser geeignet? (Erbvertrag?)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6 Widerrufsverzicht</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ist einseitiger Widerruf einer Schenkung nicht
möglich. Das Gesetz sieht allerdings eine Widerrufsmöglichkeit vor
wegen:</w:t>
      </w:r>
    </w:p>
    <w:p>
      <w:pPr>
        <w:numPr>
          <w:ilvl w:val="0"/>
          <w:numId w:val="778911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Bedürftigkeit des Geschenkgebers</w:t>
      </w:r>
    </w:p>
    <w:p>
      <w:pPr>
        <w:numPr>
          <w:ilvl w:val="0"/>
          <w:numId w:val="778911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Undank des Geschenkgebers</w:t>
      </w:r>
    </w:p>
    <w:p>
      <w:pPr>
        <w:numPr>
          <w:ilvl w:val="0"/>
          <w:numId w:val="778911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Verkürzung des Unterhaltes (der Anspruch steht auch dem zur
Zeit der Schenkung gezeugten, noch ungeborenen Kind zu)</w:t>
      </w:r>
    </w:p>
    <w:p>
      <w:pPr>
        <w:numPr>
          <w:ilvl w:val="0"/>
          <w:numId w:val="778911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Verkürzung des Pflichtteiles</w:t>
      </w:r>
    </w:p>
    <w:p>
      <w:pPr>
        <w:numPr>
          <w:ilvl w:val="0"/>
          <w:numId w:val="778911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Nachgeborener Kinder</w:t>
      </w:r>
    </w:p>
    <w:p>
      <w:pPr>
        <w:numPr>
          <w:ilvl w:val="0"/>
          <w:numId w:val="778911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Schenkungen im Rahmen eines Verlöbnisses und Widerruf durch den
schuldlosen Teil</w:t>
      </w:r>
    </w:p>
    <w:p>
      <w:pPr>
        <w:numPr>
          <w:ilvl w:val="0"/>
          <w:numId w:val="778911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Schenkungen an Verlobte durch außenstehende Dritte und Widerruf
bei Auflösung des Verlöbnisses. Den Außenstehenden darf daran kein
Verschulden treffen.</w:t>
      </w:r>
    </w:p>
    <w:p>
      <w:pPr>
        <w:widowControl w:val="on"/>
        <w:pBdr/>
        <w:spacing w:before="140" w:after="240" w:line="288" w:lineRule="auto"/>
        <w:ind w:left="0" w:right="0"/>
        <w:jc w:val="left"/>
      </w:pPr>
      <w:r>
        <w:rPr>
          <w:rFonts w:ascii="Arial" w:hAnsi="Arial" w:eastAsia="Arial" w:cs="Arial"/>
          <w:color w:val="000000"/>
          <w:sz w:val="20"/>
          <w:szCs w:val="20"/>
        </w:rPr>
        <w:t xml:space="preserve">Der Widerrufsverzicht des Schenkers kann durch ein Veräußerungs-
und Belastungsverbot zugunsten des Beschenkten ersetzt werden. Der
Widerrufsverzicht bedeutet (nur), dass die Schenkung nicht grundlos
widerrufen werden darf und bindet den Geschenkgeber (nur)
obligatorisch. Ein Belastungs und Veräußerungsverbot untersagt dem
Geschenkgeber die Belastung und den Verkauf (der Liegenschaft) und
bindet – ohne Verbücherung(smöglichkeit) – den
Geschenkgeber (ebenfalls nur) obligatorisch. Auch die Warnfunktion
ist jedenfalls gleichwertig (OGH 04.09.2014, 5 Ob 39/14t).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7 Schenkung auf den Todesfall</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immer mit Widerrufsverzicht verbunden, die
gesetzlichen Widerrufsgründe bleiben erhalten:</w:t>
      </w:r>
    </w:p>
    <w:p>
      <w:pPr>
        <w:numPr>
          <w:ilvl w:val="0"/>
          <w:numId w:val="1259572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aufschiebende Bedingung des Überlebens des Geschenknehmers
ist nicht zulässig</w:t>
      </w:r>
    </w:p>
    <w:p>
      <w:pPr>
        <w:numPr>
          <w:ilvl w:val="0"/>
          <w:numId w:val="1259572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sofortige Übergabe möglich, deshalb immer
notariatsaktpflichtig</w:t>
      </w:r>
    </w:p>
    <w:p>
      <w:pPr>
        <w:numPr>
          <w:ilvl w:val="0"/>
          <w:numId w:val="1259572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Soll es dem Geschenkgeber untersagt sein, den
Geschenkgegenstand zu verändern (zu belasten?)</w:t>
      </w:r>
    </w:p>
    <w:p>
      <w:pPr>
        <w:numPr>
          <w:ilvl w:val="0"/>
          <w:numId w:val="1259572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Vereinbarung eines Veräußerungs- und Belastungsverbotes?
(§ 364c ABGB!)</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8 Aufschiebende Bedingungen</w:t>
      </w:r>
    </w:p>
    <w:p>
      <w:pPr>
        <w:numPr>
          <w:ilvl w:val="0"/>
          <w:numId w:val="65099309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diesem Fall sind immer die Formvorschriften für
Schenkungsverträge zu beachten, da eine wirkliche Übergabe vor
Bedingungseintritt nicht möglich ist</w:t>
      </w:r>
    </w:p>
    <w:p>
      <w:pPr>
        <w:numPr>
          <w:ilvl w:val="0"/>
          <w:numId w:val="65099309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Grundverkehrsbeschränkungen sind grundsätzlich zu beachten, da
die Unentgeltlichkeit für sich selbst Bewilligungsvorgänge nicht
entbehrlich macht</w:t>
      </w:r>
    </w:p>
    <w:p>
      <w:pPr>
        <w:numPr>
          <w:ilvl w:val="0"/>
          <w:numId w:val="65099309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Deviseninländereigenschaft gegeben?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9 Daten für Abgabenbemessung</w:t>
      </w:r>
    </w:p>
    <w:p>
      <w:pPr>
        <w:numPr>
          <w:ilvl w:val="0"/>
          <w:numId w:val="8886220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Geburtsdatum des Geschenknehmers wegen des Kapitalwertes von
Renten … (Bewertungsgesetz)</w:t>
      </w:r>
    </w:p>
    <w:p>
      <w:pPr>
        <w:numPr>
          <w:ilvl w:val="0"/>
          <w:numId w:val="8886220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Einheitswert bzw Verkehrswert wegen Progression</w:t>
      </w:r>
    </w:p>
    <w:p>
      <w:pPr>
        <w:numPr>
          <w:ilvl w:val="0"/>
          <w:numId w:val="8886220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Geburtsdaten bei Liegenschaftsschenkung</w:t>
      </w:r>
    </w:p>
    <w:p>
      <w:pPr>
        <w:numPr>
          <w:ilvl w:val="0"/>
          <w:numId w:val="8886220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beweglichem Vermögen Anzeigepflicht bei FA, wenn der Wert
EUR 50.000,– der Schenkung zwischen Angehörigen, bzw
EUR 15.000,– bei Nichtangehörigen übersteigt</w:t>
      </w:r>
    </w:p>
    <w:p>
      <w:pPr>
        <w:numPr>
          <w:ilvl w:val="0"/>
          <w:numId w:val="8886220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Liegenschaft: Grunderwerbssteuer fällt an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10 Kosten und Gebühren</w:t>
      </w:r>
    </w:p>
    <w:p>
      <w:pPr>
        <w:numPr>
          <w:ilvl w:val="0"/>
          <w:numId w:val="2266926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Kosten- und Gebührentragungspflicht (hat wegen
schuldrechtlichen und gesetzlichen Solidar- und
Mithaftungsbestimmungen praktisch regelmäßig nur im Innenverhältnis
Bedeutung)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669263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862206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099309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2595722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789113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7122647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74757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092402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771986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8045554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7664768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1837142">
    <w:multiLevelType w:val="hybridMultilevel"/>
    <w:lvl w:ilvl="0" w:tplc="28315766">
      <w:start w:val="1"/>
      <w:numFmt w:val="decimal"/>
      <w:lvlText w:val="%1."/>
      <w:lvlJc w:val="left"/>
      <w:pPr>
        <w:ind w:left="720" w:hanging="360"/>
      </w:pPr>
    </w:lvl>
    <w:lvl w:ilvl="1" w:tplc="28315766" w:tentative="1">
      <w:start w:val="1"/>
      <w:numFmt w:val="lowerLetter"/>
      <w:lvlText w:val="%2."/>
      <w:lvlJc w:val="left"/>
      <w:pPr>
        <w:ind w:left="1440" w:hanging="360"/>
      </w:pPr>
    </w:lvl>
    <w:lvl w:ilvl="2" w:tplc="28315766" w:tentative="1">
      <w:start w:val="1"/>
      <w:numFmt w:val="lowerRoman"/>
      <w:lvlText w:val="%3."/>
      <w:lvlJc w:val="right"/>
      <w:pPr>
        <w:ind w:left="2160" w:hanging="180"/>
      </w:pPr>
    </w:lvl>
    <w:lvl w:ilvl="3" w:tplc="28315766" w:tentative="1">
      <w:start w:val="1"/>
      <w:numFmt w:val="decimal"/>
      <w:lvlText w:val="%4."/>
      <w:lvlJc w:val="left"/>
      <w:pPr>
        <w:ind w:left="2880" w:hanging="360"/>
      </w:pPr>
    </w:lvl>
    <w:lvl w:ilvl="4" w:tplc="28315766" w:tentative="1">
      <w:start w:val="1"/>
      <w:numFmt w:val="lowerLetter"/>
      <w:lvlText w:val="%5."/>
      <w:lvlJc w:val="left"/>
      <w:pPr>
        <w:ind w:left="3600" w:hanging="360"/>
      </w:pPr>
    </w:lvl>
    <w:lvl w:ilvl="5" w:tplc="28315766" w:tentative="1">
      <w:start w:val="1"/>
      <w:numFmt w:val="lowerRoman"/>
      <w:lvlText w:val="%6."/>
      <w:lvlJc w:val="right"/>
      <w:pPr>
        <w:ind w:left="4320" w:hanging="180"/>
      </w:pPr>
    </w:lvl>
    <w:lvl w:ilvl="6" w:tplc="28315766" w:tentative="1">
      <w:start w:val="1"/>
      <w:numFmt w:val="decimal"/>
      <w:lvlText w:val="%7."/>
      <w:lvlJc w:val="left"/>
      <w:pPr>
        <w:ind w:left="5040" w:hanging="360"/>
      </w:pPr>
    </w:lvl>
    <w:lvl w:ilvl="7" w:tplc="28315766" w:tentative="1">
      <w:start w:val="1"/>
      <w:numFmt w:val="lowerLetter"/>
      <w:lvlText w:val="%8."/>
      <w:lvlJc w:val="left"/>
      <w:pPr>
        <w:ind w:left="5760" w:hanging="360"/>
      </w:pPr>
    </w:lvl>
    <w:lvl w:ilvl="8" w:tplc="28315766" w:tentative="1">
      <w:start w:val="1"/>
      <w:numFmt w:val="lowerRoman"/>
      <w:lvlText w:val="%9."/>
      <w:lvlJc w:val="right"/>
      <w:pPr>
        <w:ind w:left="6480" w:hanging="180"/>
      </w:pPr>
    </w:lvl>
  </w:abstractNum>
  <w:abstractNum w:abstractNumId="41837141">
    <w:multiLevelType w:val="hybridMultilevel"/>
    <w:lvl w:ilvl="0" w:tplc="861052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837141">
    <w:abstractNumId w:val="41837141"/>
  </w:num>
  <w:num w:numId="41837142">
    <w:abstractNumId w:val="41837142"/>
  </w:num>
  <w:num w:numId="976647680">
    <w:abstractNumId w:val="976647680"/>
  </w:num>
  <w:num w:numId="980455544">
    <w:abstractNumId w:val="980455544"/>
  </w:num>
  <w:num w:numId="377198692">
    <w:abstractNumId w:val="377198692"/>
  </w:num>
  <w:num w:numId="960924025">
    <w:abstractNumId w:val="960924025"/>
  </w:num>
  <w:num w:numId="737475713">
    <w:abstractNumId w:val="737475713"/>
  </w:num>
  <w:num w:numId="771226471">
    <w:abstractNumId w:val="771226471"/>
  </w:num>
  <w:num w:numId="77891130">
    <w:abstractNumId w:val="77891130"/>
  </w:num>
  <w:num w:numId="125957223">
    <w:abstractNumId w:val="125957223"/>
  </w:num>
  <w:num w:numId="650993098">
    <w:abstractNumId w:val="650993098"/>
  </w:num>
  <w:num w:numId="888622063">
    <w:abstractNumId w:val="888622063"/>
  </w:num>
  <w:num w:numId="226692637">
    <w:abstractNumId w:val="2266926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03285408" Type="http://schemas.openxmlformats.org/officeDocument/2006/relationships/numbering" Target="numbering.xml"/><Relationship Id="rId85536181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