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9403440" w:name="document"/>
    <w:bookmarkEnd w:id="79403440"/>
    <w:p/>
    <w:p>
      <w:pPr>
        <w:widowControl w:val="on"/>
        <w:pBdr/>
        <w:spacing w:before="0" w:after="280" w:line="240" w:lineRule="auto"/>
        <w:ind w:left="0" w:right="0"/>
        <w:jc w:val="left"/>
      </w:pPr>
      <w:r>
        <w:rPr>
          <w:rFonts w:ascii="Arial" w:hAnsi="Arial" w:eastAsia="Arial" w:cs="Arial"/>
          <w:color w:val="363A40"/>
          <w:sz w:val="24"/>
          <w:szCs w:val="24"/>
        </w:rPr>
        <w:t xml:space="preserve">Dokument-ID: 585701 | Andrea Futterknecht -
Albert Scherzer | Muster |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Vorausvereinbarung Ehewohnung</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Gesetzliche Regelung</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Ehewohnung, die ein Ehegatte in die Ehe eingebracht oder
von Todes wegen erworben oder die ihm ein Dritter geschenkt hat,
ist in die Aufteilung dann einzubeziehen, wenn
</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dies vereinbart wurde,</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andere Ehegatte auf ihre Weiterbenützung zur Sicherung
seiner Lebensbedürfnisse angewiesen ist oder</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 gemeinsames Kind an ihrer Weiterbenützung einen
berücksichtigungswürdigen Bedarf hat (§ 82 Abs 2
EheG).</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Für die Ehewohnung kann das Gericht, wenn sie kraft Eigentums
oder eines anderen dinglichen Rechtes oder beider Ehegatten benützt
wird, die Übertragung des Eigentums oder des dinglichen Rechtes von
einem auf den anderen Ehegatten oder die Begründung eines
schuldrechtlichen Rechtsverhältnisses zugunsten eines Ehegatten
anordnen.</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Übertragung des Eigentums oder eines dinglichen Rechts an
einer Ehewohnung nach § 82 Abs 2 EheG können die
Ehegatten durch Vereinbarung ausschließen (§ 87 Abs 1
EheG).</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genannten Regelungen gelten sinngemäß für eingetragene
Partner.</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Begriff</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Ehewohnung ist jener Verband, der der Abwicklung des
ehelichen Lebens dient und in dem die Haushaltsführung, allenfalls
Pflege und Erziehung der Kinder gewöhnlich stattfindet. Nicht
entscheidend ist, auf welchem Rechtsverhältnis das gemeinsame
Wohnen beruht. Der Begriff der Ehewohnung ist, auch angesichts des
§ 97 ABGB, weit auszulegen. § 97 ABGB gilt nämlich nicht
nur für eine von beiden Ehegatten bewohnte Wohnung, sondern auch
für eine solche, die von den Gatten nicht mehr gemeinsam bewohnt
worden ist, wenn sie nur seinerzeit als Ehewohnung bestimmt wurde
und von einem Ehegatten, der nicht über sie verfügen kann, dringend
benötigt wird. Es können auch mehrere Wohnungen Ehewohnungen
desselben Paares sein, etwa wenn das Paar eine Hälfte des Jahres in
einer Stadtwohnung und die andere Hälfte des Jahres im Gartenhaus
verbringt. Auch ein Haus kann Ehewohnung sein, falls es für
eheliche Zwecke verwendet worden ist (</w:t>
      </w:r>
      <w:r>
        <w:rPr>
          <w:rFonts w:ascii="Arial" w:hAnsi="Arial" w:eastAsia="Arial" w:cs="Arial"/>
          <w:i/>
          <w:iCs/>
          <w:color w:val="000000"/>
          <w:sz w:val="20"/>
          <w:szCs w:val="20"/>
        </w:rPr>
        <w:t xml:space="preserve">Schwimann</w:t>
      </w:r>
      <w:r>
        <w:rPr>
          <w:rFonts w:ascii="Arial" w:hAnsi="Arial" w:eastAsia="Arial" w:cs="Arial"/>
          <w:color w:val="000000"/>
          <w:sz w:val="20"/>
          <w:szCs w:val="20"/>
        </w:rPr>
        <w:t xml:space="preserve">, ABGB I³,
Rz 14 zu § 81 EheG).</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Wohnung ist keine Ehewohnung, wenn sie von den Ehegatten
während aufrechter ehelicher Lebensgemeinschaft zu keinem Zeitpunkt
zur gemeinsamen Lebensführung benützt wurde. Auf die Widmung der
Räumlichkeiten durch die Ehegatten bzw deren Absicht kommt es daher
nicht an (OGH 26.04.2017, 1 Ob 51/17g).</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Grundsätzlich kann nicht nur ein Haus, sondern auch der Garten
Ehewohnung sein; das ergibt sich schon daraus, dass auch ein Garten
zu jenem Bereich gehört, in dem sich das Eheleben und Familienleben
abspielen kann, in dem sich die Familienmitglieder in der Freizeit
zurückziehen, um irgendwelchen Beschäftigungen nachzugehen oder
sich zu erholen (RIS-Justiz RS0058318).</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Zusammenfassung der Neuerungen und
Konsequenzen</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Opting in-Modell:
</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Ehegatten können vereinbaren, dass die (grundsätzlich nicht
der Aufteilung unterliegende, weil eingebrachte, geerbte oder vom
Dritten geschenkte) Ehewohnung unbedingt in das
Aufteilungsverfahren einzubeziehen ist.</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Aufteilungsgericht entscheidet darüber, ob das
Eigentumsrecht an der Wohnung belassen und eine Ausgleichszahlung
festgelegt oder ob das Eigentumsrecht übertragen wird.</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Wurde hineinoptiert, spielen bei der Aufteilung der Wohnung die
Billigkeit gem § 83 EheG und die Beiträge der Ehegatten
für die Ehewohnung eine Rolle.</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Konnexe Schulden (die während der Ehe zur Instandhaltung oder
Verbesserung der Ehewohnung eingegangen wurden) mindern den Wert
der aufzuteilenden Aktiven durch direkten Abzug (Zak 2009, 323
unter Hinweis auf OGH 10 Ob 15/04k).</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Opting out-Modell:
</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Ehegatten können vereinbaren, dass bei einer in die
Aufteilung einzubeziehenden Ehewohnung die Übertragung des
Eigentums oder eines anderen dinglichen Rechtes für die Aufteilung
ausgeschlossen wird.</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w:t>
      </w:r>
      <w:r>
        <w:rPr>
          <w:rFonts w:ascii="Arial" w:hAnsi="Arial" w:eastAsia="Arial" w:cs="Arial"/>
          <w:i/>
          <w:iCs/>
          <w:color w:val="000000"/>
          <w:sz w:val="20"/>
          <w:szCs w:val="20"/>
        </w:rPr>
        <w:t xml:space="preserve">Deixler-Hübner</w:t>
      </w:r>
      <w:r>
        <w:rPr>
          <w:rFonts w:ascii="Arial" w:hAnsi="Arial" w:eastAsia="Arial" w:cs="Arial"/>
          <w:color w:val="000000"/>
          <w:sz w:val="20"/>
          <w:szCs w:val="20"/>
        </w:rPr>
        <w:t xml:space="preserve"> in Zak 2010, S 11 besteht die
Möglichkeit zum Hinausoptieren nicht nur für die eingebrachte,
geerbte und vom Dritten geschenkte Wohnung, sondern auch für die
während der ehelichen Gemeinschaft von beiden Ehegatten geschaffene
Ehewohnung.</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umgekehrte Fall (Vorausvereinbarung darüber, dass die
Rechte an der Wohnung im Fall der Scheidung, Nichtigerklärung oder
Aufhebung an einen Ehepartner übertragen werden) ist gesetzlich
nicht geregelt. </w:t>
      </w:r>
      <w:r>
        <w:rPr>
          <w:rFonts w:ascii="Arial" w:hAnsi="Arial" w:eastAsia="Arial" w:cs="Arial"/>
          <w:i/>
          <w:iCs/>
          <w:color w:val="000000"/>
          <w:sz w:val="20"/>
          <w:szCs w:val="20"/>
        </w:rPr>
        <w:t xml:space="preserve">Deixler-Hübner</w:t>
      </w:r>
      <w:r>
        <w:rPr>
          <w:rFonts w:ascii="Arial" w:hAnsi="Arial" w:eastAsia="Arial" w:cs="Arial"/>
          <w:color w:val="000000"/>
          <w:sz w:val="20"/>
          <w:szCs w:val="20"/>
        </w:rPr>
        <w:t xml:space="preserve"> (Zak 2010, S 11) sieht
es aufgrund eines Größenschlusses jedenfalls als zulässig an, dass
bereits im Vorhinein die Übertragung der Wohnung festgelegt
wird.</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Für (schlichte) Miet-, Genossenschafts- oder Dienstwohnungen
besteht keine Möglichkeit, den Eintritt des Ehepartners in den
entsprechenden Vertrag aufgrund einer Entscheidung des
Aufteilungsgerichtes zu verhindern.</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Formvorschrift</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Vorausvereinbarung über die Aufteilung der Ehewohnung ist
notariatsaktspflichtig.</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Praktische Anwendungsfälle für
Wohnungsvorausvereinbarungen</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Opting in-Modell wird dann interessant sein, wenn
Lebensgefährten gemeinsam ein Haus auf einer Liegenschaft
errichten, die im Alleineigentum einer der Lebensgefährten steht.
Ohne Opting in wäre die Liegenschaft samt Haus infolge der erst
späteren Eheschließung als eingebracht gem § 82
Abs 1 EheG anzusehen – und damit aus der Aufteilungsmasse
auszuscheiden (EF-Z [2010] 01, S 10).</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Opting out-Modell bietet insbesondere dem Eigentümer
eingebrachter Wohnungen davor Schutz, dass die Wohnung im Rahmen
der Aufteilung an den Ehepartner geht.</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Bindung des Gerichtes</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Vereinbarung über den Ausschluss der Übertragung des
Eigentums bzw eines anderen dinglichen Rechts bindet das
Aufteilungsgericht.</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vertritt in EF-Z (2010) 01, S 11
allerdings die Ansicht, dass eine Opting out-Vereinbarung über eine
während aufrechter Ehe erworbene oder von einem Ehegatten
eingebrachte und aufgrund der erzielten Wertschöpfung während der
Ehe nunmehr aber als der Aufteilungsmasse zugehörig anzusehende
Ehewohnung der Vereinbarungskontrolle nach § 97 Abs 2
EheG und § 97 Abs 3 EheG unterliegt.</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Von einer im Voraus geschlossenen Vereinbarung über die Nutzung
der Ehewohnung durch einen Ehegatten kann das Gericht bei der
Aufteilung nur abweichen, soweit der andere Ehegatte oder ein
gemeinsames Kind bzw der eingetragene Partner seine
Lebensbedürfnisse nicht hinreichend decken kann oder eine deutliche
Verschlechterung seiner Lebensverhältnisse hinnehmen müsste
(§ 97 Abs 3 EheG). Nach den Materialien ist die
erstgenannte Ausnahme beispielsweise dann gegeben, wenn der Auszug
aus der Wohnung für den Ehegatten mit einem Verlust des
Arbeitsplatzes oder für das Kind mit einem solchen Wechsel der
Schule oder des Ausbildungsplatzes verbunden ist, der die weitere
Entwicklung gefährden kann.</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Sofern das Gericht von einer Vorausvereinbarung abweicht, hat
es insbesondere
</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die Gestaltung der ehelichen Lebensverhältnisse,</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Dauer der Ehe sowie</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darauf Bedacht zu nehmen, inwieweit der Vereinbarung eine
rechtliche Beratung vorangegangen ist und</w:t>
      </w:r>
    </w:p>
    <w:p>
      <w:pPr>
        <w:numPr>
          <w:ilvl w:val="1"/>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welcher Form sie geschlossen wurde.</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Aufzählung ist (nach den Materialien) demonstrativ.</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Abgrenzungsprobleme zum sonstigen
Gebrauchsvermögen</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Abgrenzung hat zum einen Bedeutung für die
Abweichungsmöglichkeiten durch das Aufteilungsgericht, zum anderen
für die Frage der notwendigen Form der Vereinbarung.</w:t>
      </w:r>
    </w:p>
    <w:p>
      <w:pPr>
        <w:numPr>
          <w:ilvl w:val="0"/>
          <w:numId w:val="6424641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in EF-Z (2010) 01, S 9 werden
jedenfalls zur Ehewohnung die unselbstständigen Bestandteile
gem § 294 ABGB gehören, wie etwa eine
Badezimmereinrichtung, fixierte Einbauschränke, die nicht
entfernbar sind, ohne dass damit irgendeine wirtschaftliche
Beeinträchtigung verbunden wäre (SZ 57/166 udgl). Die sonstige
Wohnungseinrichtung (etwa Möbel, Teppiche etc, also selbstständige
Bestandteile gem § 294 ABGB oder gar Zubehör
gem § 297 ABGB) ist jedoch eheliches Gebrauchsvermögen.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weist darauf hin, dass eine allzu großzügige
Betrachtungsweise des Begriffs Ehewohnung (wie etwa im Zusammenhang
mit dem gesetzlichen Vorausvermächtnis nach § 758 ABGB) zu
vermeiden ist, weil sich der Gesetzgeber offensichtlich doch
bewusst für eine Differenzierung zwischen Ehewohnung (Wohnung) und
ehelichem Gebrauchsvermögen entschieden hat; gerade der Hausrat, um
den es im Zusammenhang mit der Differenzierung primär geht, ist
jedoch (nur) eheliches Gebrauchsvermögen und nicht (mehr)
Ehewohnung.</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2464191">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14138988">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3567326">
    <w:multiLevelType w:val="hybridMultilevel"/>
    <w:lvl w:ilvl="0" w:tplc="15614914">
      <w:start w:val="1"/>
      <w:numFmt w:val="decimal"/>
      <w:lvlText w:val="%1."/>
      <w:lvlJc w:val="left"/>
      <w:pPr>
        <w:ind w:left="720" w:hanging="360"/>
      </w:pPr>
    </w:lvl>
    <w:lvl w:ilvl="1" w:tplc="15614914" w:tentative="1">
      <w:start w:val="1"/>
      <w:numFmt w:val="lowerLetter"/>
      <w:lvlText w:val="%2."/>
      <w:lvlJc w:val="left"/>
      <w:pPr>
        <w:ind w:left="1440" w:hanging="360"/>
      </w:pPr>
    </w:lvl>
    <w:lvl w:ilvl="2" w:tplc="15614914" w:tentative="1">
      <w:start w:val="1"/>
      <w:numFmt w:val="lowerRoman"/>
      <w:lvlText w:val="%3."/>
      <w:lvlJc w:val="right"/>
      <w:pPr>
        <w:ind w:left="2160" w:hanging="180"/>
      </w:pPr>
    </w:lvl>
    <w:lvl w:ilvl="3" w:tplc="15614914" w:tentative="1">
      <w:start w:val="1"/>
      <w:numFmt w:val="decimal"/>
      <w:lvlText w:val="%4."/>
      <w:lvlJc w:val="left"/>
      <w:pPr>
        <w:ind w:left="2880" w:hanging="360"/>
      </w:pPr>
    </w:lvl>
    <w:lvl w:ilvl="4" w:tplc="15614914" w:tentative="1">
      <w:start w:val="1"/>
      <w:numFmt w:val="lowerLetter"/>
      <w:lvlText w:val="%5."/>
      <w:lvlJc w:val="left"/>
      <w:pPr>
        <w:ind w:left="3600" w:hanging="360"/>
      </w:pPr>
    </w:lvl>
    <w:lvl w:ilvl="5" w:tplc="15614914" w:tentative="1">
      <w:start w:val="1"/>
      <w:numFmt w:val="lowerRoman"/>
      <w:lvlText w:val="%6."/>
      <w:lvlJc w:val="right"/>
      <w:pPr>
        <w:ind w:left="4320" w:hanging="180"/>
      </w:pPr>
    </w:lvl>
    <w:lvl w:ilvl="6" w:tplc="15614914" w:tentative="1">
      <w:start w:val="1"/>
      <w:numFmt w:val="decimal"/>
      <w:lvlText w:val="%7."/>
      <w:lvlJc w:val="left"/>
      <w:pPr>
        <w:ind w:left="5040" w:hanging="360"/>
      </w:pPr>
    </w:lvl>
    <w:lvl w:ilvl="7" w:tplc="15614914" w:tentative="1">
      <w:start w:val="1"/>
      <w:numFmt w:val="lowerLetter"/>
      <w:lvlText w:val="%8."/>
      <w:lvlJc w:val="left"/>
      <w:pPr>
        <w:ind w:left="5760" w:hanging="360"/>
      </w:pPr>
    </w:lvl>
    <w:lvl w:ilvl="8" w:tplc="15614914" w:tentative="1">
      <w:start w:val="1"/>
      <w:numFmt w:val="lowerRoman"/>
      <w:lvlText w:val="%9."/>
      <w:lvlJc w:val="right"/>
      <w:pPr>
        <w:ind w:left="6480" w:hanging="180"/>
      </w:pPr>
    </w:lvl>
  </w:abstractNum>
  <w:abstractNum w:abstractNumId="63567325">
    <w:multiLevelType w:val="hybridMultilevel"/>
    <w:lvl w:ilvl="0" w:tplc="216954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567325">
    <w:abstractNumId w:val="63567325"/>
  </w:num>
  <w:num w:numId="63567326">
    <w:abstractNumId w:val="63567326"/>
  </w:num>
  <w:num w:numId="514138988">
    <w:abstractNumId w:val="514138988"/>
  </w:num>
  <w:num w:numId="642464191">
    <w:abstractNumId w:val="6424641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19152279" Type="http://schemas.openxmlformats.org/officeDocument/2006/relationships/numbering" Target="numbering.xml"/><Relationship Id="rId941608466"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