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0525229" w:name="document"/>
    <w:bookmarkEnd w:id="60525229"/>
    <w:p/>
    <w:p>
      <w:pPr>
        <w:widowControl w:val="on"/>
        <w:pBdr/>
        <w:spacing w:before="0" w:after="280" w:line="240" w:lineRule="auto"/>
        <w:ind w:left="0" w:right="0"/>
        <w:jc w:val="left"/>
      </w:pPr>
      <w:r>
        <w:rPr>
          <w:rFonts w:ascii="Arial" w:hAnsi="Arial" w:eastAsia="Arial" w:cs="Arial"/>
          <w:color w:val="363A40"/>
          <w:sz w:val="24"/>
          <w:szCs w:val="24"/>
        </w:rPr>
        <w:t xml:space="preserve">Dokument-ID: 585701 | Andrea Futterknecht -
Albert Scherzer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Vorausvereinbarung Ehewohnung</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Gesetzliche Regelung</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Ehewohnung, die ein Ehegatte in die Ehe eingebracht oder
von Todes wegen erworben oder die ihm ein Dritter geschenkt hat,
ist in die Aufteilung dann einzubeziehen, wenn
</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dies vereinbart wurde,</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andere Ehegatte auf ihre Weiterbenützung zur Sicherung
seiner Lebensbedürfnisse angewiesen ist oder</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 gemeinsames Kind an ihrer Weiterbenützung einen
berücksichtigungswürdigen Bedarf hat (§ 82 Abs 2
EheG).</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die Ehewohnung kann das Gericht, wenn sie kraft Eigentums
oder eines anderen dinglichen Rechtes oder beider Ehegatten benützt
wird, die Übertragung des Eigentums oder des dinglichen Rechtes von
einem auf den anderen Ehegatten oder die Begründung eines
schuldrechtlichen Rechtsverhältnisses zugunsten eines Ehegatten
anordnen.</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Übertragung des Eigentums oder eines dinglichen Rechts an
einer Ehewohnung nach § 82 Abs 2 EheG können die
Ehegatten durch Vereinbarung ausschließen (§ 87 Abs 1
EheG).</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genannten Regelungen gelten sinngemäß für eingetragene
Partner.</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Begriff</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Ehewohnung ist jener Verband, der der Abwicklung des
ehelichen Lebens dient und in dem die Haushaltsführung, allenfalls
Pflege und Erziehung der Kinder gewöhnlich stattfindet. Nicht
entscheidend ist, auf welchem Rechtsverhältnis das gemeinsame
Wohnen beruht. Der Begriff der Ehewohnung ist, auch angesichts des
§ 97 ABGB, weit auszulegen. § 97 ABGB gilt nämlich nicht
nur für eine von beiden Ehegatten bewohnte Wohnung, sondern auch
für eine solche, die von den Gatten nicht mehr gemeinsam bewohnt
worden ist, wenn sie nur seinerzeit als Ehewohnung bestimmt wurde
und von einem Ehegatten, der nicht über sie verfügen kann, dringend
benötigt wird. Es können auch mehrere Wohnungen Ehewohnungen
desselben Paares sein, etwa wenn das Paar eine Hälfte des Jahres in
einer Stadtwohnung und die andere Hälfte des Jahres im Gartenhaus
verbringt. Auch ein Haus kann Ehewohnung sein, falls es für
eheliche Zwecke verwendet worden ist (</w:t>
      </w:r>
      <w:r>
        <w:rPr>
          <w:rFonts w:ascii="Arial" w:hAnsi="Arial" w:eastAsia="Arial" w:cs="Arial"/>
          <w:i/>
          <w:iCs/>
          <w:color w:val="000000"/>
          <w:sz w:val="20"/>
          <w:szCs w:val="20"/>
        </w:rPr>
        <w:t xml:space="preserve">Schwimann</w:t>
      </w:r>
      <w:r>
        <w:rPr>
          <w:rFonts w:ascii="Arial" w:hAnsi="Arial" w:eastAsia="Arial" w:cs="Arial"/>
          <w:color w:val="000000"/>
          <w:sz w:val="20"/>
          <w:szCs w:val="20"/>
        </w:rPr>
        <w:t xml:space="preserve">, ABGB I³,
Rz 14 zu § 81 EheG).</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Wohnung ist keine Ehewohnung, wenn sie von den Ehegatten
während aufrechter ehelicher Lebensgemeinschaft zu keinem Zeitpunkt
zur gemeinsamen Lebensführung benützt wurde. Auf die Widmung der
Räumlichkeiten durch die Ehegatten bzw deren Absicht kommt es daher
nicht an (OGH 26.04.2017, 1 Ob 51/17g).</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Grundsätzlich kann nicht nur ein Haus, sondern auch der Garten
Ehewohnung sein; das ergibt sich schon daraus, dass auch ein Garten
zu jenem Bereich gehört, in dem sich das Eheleben und Familienleben
abspielen kann, in dem sich die Familienmitglieder in der Freizeit
zurückziehen, um irgendwelchen Beschäftigungen nachzugehen oder
sich zu erholen (RIS-Justiz RS0058318).</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Zusammenfassung der Neuerungen und
Konsequenzen</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Opting in-Modell:
</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Ehegatten können vereinbaren, dass die (grundsätzlich nicht
der Aufteilung unterliegende, weil eingebrachte, geerbte oder vom
Dritten geschenkte) Ehewohnung unbedingt in das
Aufteilungsverfahren einzubeziehen ist.</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Aufteilungsgericht entscheidet darüber, ob das
Eigentumsrecht an der Wohnung belassen und eine Ausgleichszahlung
festgelegt oder ob das Eigentumsrecht übertragen wird.</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Wurde hineinoptiert, spielen bei der Aufteilung der Wohnung die
Billigkeit gem § 83 EheG und die Beiträge der Ehegatten
für die Ehewohnung eine Rolle.</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Konnexe Schulden (die während der Ehe zur Instandhaltung oder
Verbesserung der Ehewohnung eingegangen wurden) mindern den Wert
der aufzuteilenden Aktiven durch direkten Abzug (Zak 2009, 323
unter Hinweis auf OGH 10 Ob 15/04k).</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Opting out-Modell:
</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Ehegatten können vereinbaren, dass bei einer in die
Aufteilung einzubeziehenden Ehewohnung die Übertragung des
Eigentums oder eines anderen dinglichen Rechtes für die Aufteilung
ausgeschlossen wird.</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in Zak 2010, S 11 besteht die
Möglichkeit zum Hinausoptieren nicht nur für die eingebrachte,
geerbte und vom Dritten geschenkte Wohnung, sondern auch für die
während der ehelichen Gemeinschaft von beiden Ehegatten geschaffene
Ehewohnung.</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umgekehrte Fall (Vorausvereinbarung darüber, dass die
Rechte an der Wohnung im Fall der Scheidung, Nichtigerklärung oder
Aufhebung an einen Ehepartner übertragen werden) ist gesetzlich
nicht geregelt. </w:t>
      </w:r>
      <w:r>
        <w:rPr>
          <w:rFonts w:ascii="Arial" w:hAnsi="Arial" w:eastAsia="Arial" w:cs="Arial"/>
          <w:i/>
          <w:iCs/>
          <w:color w:val="000000"/>
          <w:sz w:val="20"/>
          <w:szCs w:val="20"/>
        </w:rPr>
        <w:t xml:space="preserve">Deixler-Hübner</w:t>
      </w:r>
      <w:r>
        <w:rPr>
          <w:rFonts w:ascii="Arial" w:hAnsi="Arial" w:eastAsia="Arial" w:cs="Arial"/>
          <w:color w:val="000000"/>
          <w:sz w:val="20"/>
          <w:szCs w:val="20"/>
        </w:rPr>
        <w:t xml:space="preserve"> (Zak 2010, S 11) sieht
es aufgrund eines Größenschlusses jedenfalls als zulässig an, dass
bereits im Vorhinein die Übertragung der Wohnung festgelegt
wird.</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(schlichte) Miet-, Genossenschafts- oder Dienstwohnungen
besteht keine Möglichkeit, den Eintritt des Ehepartners in den
entsprechenden Vertrag aufgrund einer Entscheidung des
Aufteilungsgerichtes zu verhindern.</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Formvorschrift</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Vorausvereinbarung über die Aufteilung der Ehewohnung ist
notariatsaktspflichtig.</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Praktische Anwendungsfälle für
Wohnungsvorausvereinbarungen</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Opting in-Modell wird dann interessant sein, wenn
Lebensgefährten gemeinsam ein Haus auf einer Liegenschaft
errichten, die im Alleineigentum einer der Lebensgefährten steht.
Ohne Opting in wäre die Liegenschaft samt Haus infolge der erst
späteren Eheschließung als eingebracht gem § 82
Abs 1 EheG anzusehen – und damit aus der Aufteilungsmasse
auszuscheiden (EF-Z [2010] 01, S 10).</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Opting out-Modell bietet insbesondere dem Eigentümer
eingebrachter Wohnungen davor Schutz, dass die Wohnung im Rahmen
der Aufteilung an den Ehepartner geht.</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Bindung des Gerichtes</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Vereinbarung über den Ausschluss der Übertragung des
Eigentums bzw eines anderen dinglichen Rechts bindet das
Aufteilungsgericht.</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vertritt in EF-Z (2010) 01, S 11
allerdings die Ansicht, dass eine Opting out-Vereinbarung über eine
während aufrechter Ehe erworbene oder von einem Ehegatten
eingebrachte und aufgrund der erzielten Wertschöpfung während der
Ehe nunmehr aber als der Aufteilungsmasse zugehörig anzusehende
Ehewohnung der Vereinbarungskontrolle nach § 97 Abs 2
EheG und § 97 Abs 3 EheG unterliegt.</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Von einer im Voraus geschlossenen Vereinbarung über die Nutzung
der Ehewohnung durch einen Ehegatten kann das Gericht bei der
Aufteilung nur abweichen, soweit der andere Ehegatte oder ein
gemeinsames Kind bzw der eingetragene Partner seine
Lebensbedürfnisse nicht hinreichend decken kann oder eine deutliche
Verschlechterung seiner Lebensverhältnisse hinnehmen müsste
(§ 97 Abs 3 EheG). Nach den Materialien ist die
erstgenannte Ausnahme beispielsweise dann gegeben, wenn der Auszug
aus der Wohnung für den Ehegatten mit einem Verlust des
Arbeitsplatzes oder für das Kind mit einem solchen Wechsel der
Schule oder des Ausbildungsplatzes verbunden ist, der die weitere
Entwicklung gefährden kann.</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Sofern das Gericht von einer Vorausvereinbarung abweicht, hat
es insbesondere
</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 die Gestaltung der ehelichen Lebensverhältnisse,</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Dauer der Ehe sowie</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darauf Bedacht zu nehmen, inwieweit der Vereinbarung eine
rechtliche Beratung vorangegangen ist und</w:t>
      </w:r>
    </w:p>
    <w:p>
      <w:pPr>
        <w:numPr>
          <w:ilvl w:val="1"/>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welcher Form sie geschlossen wurde.</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Aufzählung ist (nach den Materialien) demonstrativ.</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b/>
          <w:bCs/>
          <w:color w:val="000000"/>
          <w:sz w:val="20"/>
          <w:szCs w:val="20"/>
        </w:rPr>
        <w:t xml:space="preserve">Abgrenzungsprobleme zum sonstigen
Gebrauchsvermögen</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Abgrenzung hat zum einen Bedeutung für die
Abweichungsmöglichkeiten durch das Aufteilungsgericht, zum anderen
für die Frage der notwendigen Form der Vereinbarung.</w:t>
      </w:r>
    </w:p>
    <w:p>
      <w:pPr>
        <w:numPr>
          <w:ilvl w:val="0"/>
          <w:numId w:val="19230232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in EF-Z (2010) 01, S 9 werden
jedenfalls zur Ehewohnung die unselbstständigen Bestandteile
gem § 294 ABGB gehören, wie etwa eine
Badezimmereinrichtung, fixierte Einbauschränke, die nicht
entfernbar sind, ohne dass damit irgendeine wirtschaftliche
Beeinträchtigung verbunden wäre (SZ 57/166 udgl). Die sonstige
Wohnungseinrichtung (etwa Möbel, Teppiche etc, also selbstständige
Bestandteile gem § 294 ABGB oder gar Zubehör
gem § 297 ABGB) ist jedoch eheliches Gebrauchsvermögen.
</w:t>
      </w:r>
      <w:r>
        <w:rPr>
          <w:rFonts w:ascii="Arial" w:hAnsi="Arial" w:eastAsia="Arial" w:cs="Arial"/>
          <w:i/>
          <w:iCs/>
          <w:color w:val="000000"/>
          <w:sz w:val="20"/>
          <w:szCs w:val="20"/>
        </w:rPr>
        <w:t xml:space="preserve">Gitschthaler</w:t>
      </w:r>
      <w:r>
        <w:rPr>
          <w:rFonts w:ascii="Arial" w:hAnsi="Arial" w:eastAsia="Arial" w:cs="Arial"/>
          <w:color w:val="000000"/>
          <w:sz w:val="20"/>
          <w:szCs w:val="20"/>
        </w:rPr>
        <w:t xml:space="preserve"> weist darauf hin, dass eine allzu großzügige
Betrachtungsweise des Begriffs Ehewohnung (wie etwa im Zusammenhang
mit dem gesetzlichen Vorausvermächtnis nach § 758 ABGB) zu
vermeiden ist, weil sich der Gesetzgeber offensichtlich doch
bewusst für eine Differenzierung zwischen Ehewohnung (Wohnung) und
ehelichem Gebrauchsvermögen entschieden hat; gerade der Hausrat, um
den es im Zusammenhang mit der Differenzierung primär geht, ist
jedoch (nur) eheliches Gebrauchsvermögen und nicht (mehr)
Ehewohnung.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302322">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16793869">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4249366">
    <w:multiLevelType w:val="hybridMultilevel"/>
    <w:lvl w:ilvl="0" w:tplc="90661313">
      <w:start w:val="1"/>
      <w:numFmt w:val="decimal"/>
      <w:lvlText w:val="%1."/>
      <w:lvlJc w:val="left"/>
      <w:pPr>
        <w:ind w:left="720" w:hanging="360"/>
      </w:pPr>
    </w:lvl>
    <w:lvl w:ilvl="1" w:tplc="90661313" w:tentative="1">
      <w:start w:val="1"/>
      <w:numFmt w:val="lowerLetter"/>
      <w:lvlText w:val="%2."/>
      <w:lvlJc w:val="left"/>
      <w:pPr>
        <w:ind w:left="1440" w:hanging="360"/>
      </w:pPr>
    </w:lvl>
    <w:lvl w:ilvl="2" w:tplc="90661313" w:tentative="1">
      <w:start w:val="1"/>
      <w:numFmt w:val="lowerRoman"/>
      <w:lvlText w:val="%3."/>
      <w:lvlJc w:val="right"/>
      <w:pPr>
        <w:ind w:left="2160" w:hanging="180"/>
      </w:pPr>
    </w:lvl>
    <w:lvl w:ilvl="3" w:tplc="90661313" w:tentative="1">
      <w:start w:val="1"/>
      <w:numFmt w:val="decimal"/>
      <w:lvlText w:val="%4."/>
      <w:lvlJc w:val="left"/>
      <w:pPr>
        <w:ind w:left="2880" w:hanging="360"/>
      </w:pPr>
    </w:lvl>
    <w:lvl w:ilvl="4" w:tplc="90661313" w:tentative="1">
      <w:start w:val="1"/>
      <w:numFmt w:val="lowerLetter"/>
      <w:lvlText w:val="%5."/>
      <w:lvlJc w:val="left"/>
      <w:pPr>
        <w:ind w:left="3600" w:hanging="360"/>
      </w:pPr>
    </w:lvl>
    <w:lvl w:ilvl="5" w:tplc="90661313" w:tentative="1">
      <w:start w:val="1"/>
      <w:numFmt w:val="lowerRoman"/>
      <w:lvlText w:val="%6."/>
      <w:lvlJc w:val="right"/>
      <w:pPr>
        <w:ind w:left="4320" w:hanging="180"/>
      </w:pPr>
    </w:lvl>
    <w:lvl w:ilvl="6" w:tplc="90661313" w:tentative="1">
      <w:start w:val="1"/>
      <w:numFmt w:val="decimal"/>
      <w:lvlText w:val="%7."/>
      <w:lvlJc w:val="left"/>
      <w:pPr>
        <w:ind w:left="5040" w:hanging="360"/>
      </w:pPr>
    </w:lvl>
    <w:lvl w:ilvl="7" w:tplc="90661313" w:tentative="1">
      <w:start w:val="1"/>
      <w:numFmt w:val="lowerLetter"/>
      <w:lvlText w:val="%8."/>
      <w:lvlJc w:val="left"/>
      <w:pPr>
        <w:ind w:left="5760" w:hanging="360"/>
      </w:pPr>
    </w:lvl>
    <w:lvl w:ilvl="8" w:tplc="90661313" w:tentative="1">
      <w:start w:val="1"/>
      <w:numFmt w:val="lowerRoman"/>
      <w:lvlText w:val="%9."/>
      <w:lvlJc w:val="right"/>
      <w:pPr>
        <w:ind w:left="6480" w:hanging="180"/>
      </w:pPr>
    </w:lvl>
  </w:abstractNum>
  <w:abstractNum w:abstractNumId="94249365">
    <w:multiLevelType w:val="hybridMultilevel"/>
    <w:lvl w:ilvl="0" w:tplc="17802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49365">
    <w:abstractNumId w:val="94249365"/>
  </w:num>
  <w:num w:numId="94249366">
    <w:abstractNumId w:val="94249366"/>
  </w:num>
  <w:num w:numId="716793869">
    <w:abstractNumId w:val="716793869"/>
  </w:num>
  <w:num w:numId="192302322">
    <w:abstractNumId w:val="1923023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92054392" Type="http://schemas.openxmlformats.org/officeDocument/2006/relationships/numbering" Target="numbering.xml"/><Relationship Id="rId417175087"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