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0606087" w:name="document"/>
    <w:bookmarkEnd w:id="90606087"/>
    <w:p/>
    <w:p>
      <w:pPr>
        <w:widowControl w:val="on"/>
        <w:pBdr/>
        <w:spacing w:before="0" w:after="280" w:line="240" w:lineRule="auto"/>
        <w:ind w:left="0" w:right="0"/>
        <w:jc w:val="left"/>
      </w:pPr>
      <w:r>
        <w:rPr>
          <w:rFonts w:ascii="Arial" w:hAnsi="Arial" w:eastAsia="Arial" w:cs="Arial"/>
          <w:color w:val="363A40"/>
          <w:sz w:val="24"/>
          <w:szCs w:val="24"/>
        </w:rPr>
        <w:t xml:space="preserve">Dokument-ID: 866318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des Schuldners auf Änderung des Zahlungsplans</w:t>
      </w:r>
    </w:p>
    <w:p>
      <w:pPr>
        <w:widowControl w:val="on"/>
        <w:pBdr/>
        <w:spacing w:before="140" w:after="240" w:line="288" w:lineRule="auto"/>
        <w:ind w:left="0" w:right="0"/>
        <w:jc w:val="left"/>
      </w:pPr>
      <w:r>
        <w:rPr>
          <w:rFonts w:ascii="Arial" w:hAnsi="Arial" w:eastAsia="Arial" w:cs="Arial"/>
          <w:color w:val="000000"/>
          <w:sz w:val="20"/>
          <w:szCs w:val="20"/>
        </w:rPr>
        <w:t xml:space="preserve">Dr. Clemens Rechtsanwalt</w:t>
      </w:r>
      <w:r>
        <w:rPr>
          <w:rFonts w:ascii="Arial" w:hAnsi="Arial" w:eastAsia="Arial" w:cs="Arial"/>
          <w:color w:val="000000"/>
          <w:sz w:val="20"/>
          <w:szCs w:val="20"/>
        </w:rPr>
        <w:br/>
        <w:t xml:space="preserve">Hauptplatz 17</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left"/>
      </w:pPr>
      <w:r>
        <w:rPr>
          <w:rFonts w:ascii="Arial" w:hAnsi="Arial" w:eastAsia="Arial" w:cs="Arial"/>
          <w:b/>
          <w:bCs/>
          <w:color w:val="000000"/>
          <w:sz w:val="20"/>
          <w:szCs w:val="20"/>
        </w:rPr>
        <w:t xml:space="preserve">per WebERV</w:t>
      </w:r>
    </w:p>
    <w:p>
      <w:pPr>
        <w:widowControl w:val="on"/>
        <w:pBdr/>
        <w:spacing w:before="140" w:after="240" w:line="288" w:lineRule="auto"/>
        <w:ind w:left="0" w:right="0"/>
        <w:jc w:val="left"/>
      </w:pPr>
      <w:r>
        <w:rPr>
          <w:rFonts w:ascii="Arial" w:hAnsi="Arial" w:eastAsia="Arial" w:cs="Arial"/>
          <w:b/>
          <w:bCs/>
          <w:color w:val="000000"/>
          <w:sz w:val="20"/>
          <w:szCs w:val="20"/>
        </w:rPr>
        <w:t xml:space="preserve">Bezirksgericht Korneuburg</w:t>
      </w:r>
      <w:r>
        <w:rPr>
          <w:rFonts w:ascii="Arial" w:hAnsi="Arial" w:eastAsia="Arial" w:cs="Arial"/>
          <w:color w:val="000000"/>
          <w:sz w:val="20"/>
          <w:szCs w:val="20"/>
        </w:rPr>
        <w:br/>
        <w:t xml:space="preserve">Landesgerichtsplatz 1</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right"/>
      </w:pPr>
      <w:r>
        <w:rPr>
          <w:rFonts w:ascii="Arial" w:hAnsi="Arial" w:eastAsia="Arial" w:cs="Arial"/>
          <w:color w:val="000000"/>
          <w:sz w:val="20"/>
          <w:szCs w:val="20"/>
        </w:rPr>
        <w:t xml:space="preserve">Korneuburg, am 23. Mai 2018</w:t>
      </w:r>
    </w:p>
    <w:p>
      <w:pPr>
        <w:widowControl w:val="on"/>
        <w:pBdr/>
        <w:spacing w:before="140" w:after="240" w:line="288" w:lineRule="auto"/>
        <w:ind w:left="0" w:right="0"/>
        <w:jc w:val="right"/>
      </w:pPr>
      <w:r>
        <w:rPr>
          <w:rFonts w:ascii="Arial" w:hAnsi="Arial" w:eastAsia="Arial" w:cs="Arial"/>
          <w:color w:val="000000"/>
          <w:sz w:val="20"/>
          <w:szCs w:val="20"/>
        </w:rPr>
        <w:t xml:space="preserve">GZ 8 S 125/17y</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 </w:t>
            </w: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Max Schuldner</w:t>
            </w:r>
            <w:r>
              <w:rPr>
                <w:rFonts w:ascii="Arial" w:hAnsi="Arial" w:eastAsia="Arial" w:cs="Arial"/>
                <w:color w:val="000000"/>
                <w:position w:val="0"/>
                <w:sz w:val="20"/>
                <w:szCs w:val="20"/>
                <w:shd w:val="clear" w:color="auto" w:fill="FFFFFF"/>
              </w:rPr>
              <w:br/>
              <w:t xml:space="preserve">Bahnstraße 2</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Clemens Rechtsanwalt</w:t>
            </w:r>
            <w:r>
              <w:rPr>
                <w:rFonts w:ascii="Arial" w:hAnsi="Arial" w:eastAsia="Arial" w:cs="Arial"/>
                <w:color w:val="000000"/>
                <w:position w:val="0"/>
                <w:sz w:val="20"/>
                <w:szCs w:val="20"/>
                <w:shd w:val="clear" w:color="auto" w:fill="FFFFFF"/>
              </w:rPr>
              <w:br/>
              <w:t xml:space="preserve">Hauptplatz 17</w:t>
            </w:r>
            <w:r>
              <w:rPr>
                <w:rFonts w:ascii="Arial" w:hAnsi="Arial" w:eastAsia="Arial" w:cs="Arial"/>
                <w:color w:val="000000"/>
                <w:position w:val="0"/>
                <w:sz w:val="20"/>
                <w:szCs w:val="20"/>
                <w:shd w:val="clear" w:color="auto" w:fill="FFFFFF"/>
              </w:rPr>
              <w:br/>
              <w:t xml:space="preserve">2100 Korneuburg</w:t>
            </w:r>
            <w:r>
              <w:rPr>
                <w:rFonts w:ascii="Arial" w:hAnsi="Arial" w:eastAsia="Arial" w:cs="Arial"/>
                <w:color w:val="000000"/>
                <w:position w:val="0"/>
                <w:sz w:val="20"/>
                <w:szCs w:val="20"/>
                <w:shd w:val="clear" w:color="auto" w:fill="FFFFFF"/>
              </w:rPr>
              <w:br/>
              <w:t xml:space="preserve">(Vollmacht erteilt)</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Änderung des Zahlungsplans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Einleitung des
Abschöpfungsverfahrens</w:t>
      </w:r>
    </w:p>
    <w:p>
      <w:pPr>
        <w:widowControl w:val="on"/>
        <w:pBdr/>
        <w:spacing w:before="140" w:after="240" w:line="288" w:lineRule="auto"/>
        <w:ind w:left="0" w:right="0"/>
        <w:jc w:val="right"/>
      </w:pPr>
      <w:r>
        <w:rPr>
          <w:rFonts w:ascii="Arial" w:hAnsi="Arial" w:eastAsia="Arial" w:cs="Arial"/>
          <w:color w:val="000000"/>
          <w:sz w:val="20"/>
          <w:szCs w:val="20"/>
        </w:rPr>
        <w:t xml:space="preserve">1 Beilage</w:t>
      </w:r>
      <w:r>
        <w:rPr>
          <w:rFonts w:ascii="Arial" w:hAnsi="Arial" w:eastAsia="Arial" w:cs="Arial"/>
          <w:color w:val="000000"/>
          <w:sz w:val="20"/>
          <w:szCs w:val="20"/>
        </w:rPr>
        <w:br/>
        <w:t xml:space="preserve">15 Zahlungspläne</w:t>
      </w:r>
    </w:p>
    <w:p>
      <w:pPr>
        <w:pageBreakBefore w:val="on"/>
      </w:pPr>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Antrag auf Änderung des
Zahlungsplans</w:t>
      </w:r>
    </w:p>
    <w:p>
      <w:pPr>
        <w:widowControl w:val="on"/>
        <w:pBdr/>
        <w:spacing w:before="140" w:after="240" w:line="288" w:lineRule="auto"/>
        <w:ind w:left="0" w:right="0"/>
        <w:jc w:val="left"/>
      </w:pPr>
      <w:r>
        <w:rPr>
          <w:rFonts w:ascii="Arial" w:hAnsi="Arial" w:eastAsia="Arial" w:cs="Arial"/>
          <w:color w:val="000000"/>
          <w:sz w:val="20"/>
          <w:szCs w:val="20"/>
        </w:rPr>
        <w:t xml:space="preserve">Mit Beschluss vom 15. Juli 2017 hat das Bezirksgericht
Korneuburg über das Vermögen von Max Schuldner das
Insolvenzverfahren eröffnet. Der Schuldner hat seinen Gläubigern
einen Zahlungsplan angeboten, der in der Zahlungsplantagsatzung am
23. September 2017 mit den erforderlichen Mehrheiten angenommen und
insolvenzgerichtlich bestätigt worden ist. Konkret hat der
Schuldner seinen Gläubigern die Zahlung von 13,20 % ihrer
Forderungen in 10 halbjährlichen Raten angeboten; die erste Rate
hat der Schuldner bereits am 5. Oktober 2017 bezahlt.</w:t>
      </w:r>
    </w:p>
    <w:p>
      <w:pPr>
        <w:widowControl w:val="on"/>
        <w:pBdr/>
        <w:spacing w:before="140" w:after="240" w:line="288" w:lineRule="auto"/>
        <w:ind w:left="0" w:right="0"/>
        <w:jc w:val="left"/>
      </w:pPr>
      <w:r>
        <w:rPr>
          <w:rFonts w:ascii="Arial" w:hAnsi="Arial" w:eastAsia="Arial" w:cs="Arial"/>
          <w:color w:val="000000"/>
          <w:sz w:val="20"/>
          <w:szCs w:val="20"/>
        </w:rPr>
        <w:t xml:space="preserve">Zum Zeitpunkt des Abschlusses des Zahlungsplans war der
Schuldner bei der ABC GmbH als Transportlogistiker mit einem
monatlichen Nettoeinkommen von EUR 2.150,– beschäftigt, wovon
monatlich ein Betrag von rd EUR 800,– zur Bedienung der
Zahlungsplanquote zur Verfügung stand. Mit Beschluss vom 5.
November 2017 hat das Handelsgericht Wien zu GZ 37 S 21/17x
das Konkursverfahren über das Vermögen der ABC GmbH eröffnet; das
Unternehmen wurde am 13. Dezember 2017 geschlossen und der
Schuldner wurde gekündigt.</w:t>
      </w:r>
    </w:p>
    <w:p>
      <w:pPr>
        <w:widowControl w:val="on"/>
        <w:pBdr/>
        <w:spacing w:before="140" w:after="240" w:line="288" w:lineRule="auto"/>
        <w:ind w:left="0" w:right="0"/>
        <w:jc w:val="left"/>
      </w:pPr>
      <w:r>
        <w:rPr>
          <w:rFonts w:ascii="Arial" w:hAnsi="Arial" w:eastAsia="Arial" w:cs="Arial"/>
          <w:color w:val="000000"/>
          <w:sz w:val="20"/>
          <w:szCs w:val="20"/>
        </w:rPr>
        <w:t xml:space="preserve">Der Schuldner hat sich bemüht und hat auch per 5. März 2018 eine
neue Beschäftigung als Transportlogistiker bei der EFG GmbH
gefunden. Allerdings beträgt dort sein monatliches Nettoeinkommen
nur mehr EUR 1.800,–, sodass monatlich nur mehr ein Betrag von
rd EUR 500,– zur Bedienung der Zahlungsplanquote zur Verfügung
steht und dieser Betrag reicht nicht aus, um die vereinbarte Quote
zu erfüllen. So war es dem Schuldner auch bereits nicht möglich,
die am 5. April 2018 fällig gewordene Quotenzahlung zu bedienen,
zumal ihm sein insolventer ehemaliger Dienstgeber auch noch die
Gehälter für November 2017 und Dezember 2017 schuldet; der
Insolvenzentgeltausfallfond hat auch noch keine Zahlung geleistet.
So ist der Schuldner bereits am 18. März 2018 von der Gläubiger
GmbH zur Zahlung gemahnt worden.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Insolvenzdatei</w:t>
            </w:r>
            <w:r>
              <w:rPr>
                <w:rFonts w:ascii="Arial" w:hAnsi="Arial" w:eastAsia="Arial" w:cs="Arial"/>
                <w:color w:val="000000"/>
                <w:position w:val="0"/>
                <w:sz w:val="20"/>
                <w:szCs w:val="20"/>
                <w:shd w:val="clear" w:color="auto" w:fill="FFFFFF"/>
              </w:rPr>
              <w:br/>
              <w:t xml:space="preserve">Kündigungsschreiben (Beilage ./1)</w:t>
            </w:r>
            <w:r>
              <w:rPr>
                <w:rFonts w:ascii="Arial" w:hAnsi="Arial" w:eastAsia="Arial" w:cs="Arial"/>
                <w:color w:val="000000"/>
                <w:position w:val="0"/>
                <w:sz w:val="20"/>
                <w:szCs w:val="20"/>
                <w:shd w:val="clear" w:color="auto" w:fill="FFFFFF"/>
              </w:rPr>
              <w:br/>
              <w:t xml:space="preserve">Dienstzettel EFG GmbH (Beilage ./2)</w:t>
            </w:r>
            <w:r>
              <w:rPr>
                <w:rFonts w:ascii="Arial" w:hAnsi="Arial" w:eastAsia="Arial" w:cs="Arial"/>
                <w:color w:val="000000"/>
                <w:position w:val="0"/>
                <w:sz w:val="20"/>
                <w:szCs w:val="20"/>
                <w:shd w:val="clear" w:color="auto" w:fill="FFFFFF"/>
              </w:rPr>
              <w:br/>
              <w:t xml:space="preserve">Mahnung der Gläubiger GmbH (Beilage ./3)</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Schuldner hatte bei Annahme des Zahlungsplans
Verbindlichkeiten in Höhe von EUR 424.242,42. Der Schuldner
hat die erste Zahlungsplanquote bereits entrichtet, sodass sich die
Verbindlichkeiten auf EUR 418.642,24 belaufen.</w:t>
      </w:r>
    </w:p>
    <w:p>
      <w:pPr>
        <w:widowControl w:val="on"/>
        <w:pBdr/>
        <w:spacing w:before="140" w:after="240" w:line="288" w:lineRule="auto"/>
        <w:ind w:left="0" w:right="0"/>
        <w:jc w:val="left"/>
      </w:pPr>
      <w:r>
        <w:rPr>
          <w:rFonts w:ascii="Arial" w:hAnsi="Arial" w:eastAsia="Arial" w:cs="Arial"/>
          <w:color w:val="000000"/>
          <w:sz w:val="20"/>
          <w:szCs w:val="20"/>
        </w:rPr>
        <w:t xml:space="preserve">Der Schuldner kann derzeit monatlich EUR 500,– zur Zahlung
anbieten, dies 14 mal jährlich. Hochgerechnet ergibt sich sohin ein
Betrag von EUR 35.000,– und damit eine Quote von
8,36 %.</w:t>
      </w:r>
    </w:p>
    <w:p>
      <w:pPr>
        <w:widowControl w:val="on"/>
        <w:pBdr/>
        <w:spacing w:before="140" w:after="240" w:line="288" w:lineRule="auto"/>
        <w:ind w:left="0" w:right="0"/>
        <w:jc w:val="left"/>
      </w:pPr>
      <w:r>
        <w:rPr>
          <w:rFonts w:ascii="Arial" w:hAnsi="Arial" w:eastAsia="Arial" w:cs="Arial"/>
          <w:color w:val="000000"/>
          <w:sz w:val="20"/>
          <w:szCs w:val="20"/>
        </w:rPr>
        <w:t xml:space="preserve">Da sich die Einkommens- und Vermögenslage des Schuldners aus
oben angeführten Gründen ohne sein Verschulden geändert hat, stellt
der Schuldner daher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 auf Annahme des nachstehenden
geänderten Zahlungsplans</w:t>
      </w:r>
    </w:p>
    <w:p>
      <w:pPr>
        <w:numPr>
          <w:ilvl w:val="0"/>
          <w:numId w:val="5214835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Insolvenzgläubiger erhalten insgesamt 8,36 % ihrer
Forderungen. Die Zahlung der Quote erfolgt in 10 halbjährlichen
Teilzahlungen zu je 0,836 %, wobei die Teilzahlungen jeweils
zum 15. Mai und 15. November eines Jahres zur Zahlung fällig sind.
Die Massegläubiger werden innerhalb von fünf Jahren voll
befriedigt, sofern das Gericht keine andere Frist festsetzt.</w:t>
      </w:r>
    </w:p>
    <w:p>
      <w:pPr>
        <w:numPr>
          <w:ilvl w:val="0"/>
          <w:numId w:val="5214835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Ansprüche von Aussonderungsberechtigten und
Absonderungsberechtigten werden nicht berührt. Die Rechte der
Insolvenzgläubiger gegen Bürgen und Mitschuldner des Schuldners
sowie gegen Rückgriffsverpflichtete werden nicht beschränkt.</w:t>
      </w:r>
    </w:p>
    <w:p>
      <w:pPr>
        <w:numPr>
          <w:ilvl w:val="0"/>
          <w:numId w:val="5214835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Beträge, die auf bestrittene Forderungen entfallen, sind im
selben Ausmaß und unter den gleichen Bedingungen, die für die
Bezahlung unbestrittener Forderungen festgesetzt sind,
sicherzustellen, wenn die Frist zur Einbringung der Klage noch
offen ist oder wenn die Klage bis zur Tagsatzung zur Verhandlung
und Beschlussfassung über den Zahlungsplan eingebracht worden
ist.</w:t>
      </w:r>
    </w:p>
    <w:p>
      <w:pPr>
        <w:numPr>
          <w:ilvl w:val="0"/>
          <w:numId w:val="5214835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Auch wenn die Forderung vom Schuldner, dem die Eigenverwaltung
entzogen wurde, bestritten worden ist, kommt eine Sicherstellung in
Betracht. Der sichergestellte Betrag wird frei, wenn der Gläubiger
nicht innerhalb einer vom Insolvenzgericht bestimmten Frist wegen
der bestrittenen Forderung die Klage eingebracht oder das bereits
anhängige Verfahren wieder aufgenommen hat.</w:t>
      </w:r>
    </w:p>
    <w:p>
      <w:pPr>
        <w:numPr>
          <w:ilvl w:val="0"/>
          <w:numId w:val="5214835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Bezahlung der letzten Teilquote einer Wechselforderung ist
das Akzept auszufolgen, es sei denn, er trägt die Unterschrift
einer dritten, wechselrechtlich mithaftenden Person. In diesem Fall
hat der Gläubiger die Unterschrift des Schuldners zu streichen und
das Erlöschen seiner Haftung auf dem Wechsel zu vermerken.</w:t>
      </w:r>
    </w:p>
    <w:p>
      <w:pPr>
        <w:numPr>
          <w:ilvl w:val="0"/>
          <w:numId w:val="5214835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Zahlungsverzug beträgt die Nachfrist 14 Tage.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Einleitung des
Abschöpfungsverfahrens</w:t>
      </w:r>
    </w:p>
    <w:p>
      <w:pPr>
        <w:widowControl w:val="on"/>
        <w:pBdr/>
        <w:spacing w:before="140" w:after="240" w:line="288" w:lineRule="auto"/>
        <w:ind w:left="0" w:right="0"/>
        <w:jc w:val="left"/>
      </w:pPr>
      <w:r>
        <w:rPr>
          <w:rFonts w:ascii="Arial" w:hAnsi="Arial" w:eastAsia="Arial" w:cs="Arial"/>
          <w:color w:val="000000"/>
          <w:sz w:val="20"/>
          <w:szCs w:val="20"/>
        </w:rPr>
        <w:t xml:space="preserve">Für den Fall der Ablehnung des Zahlungsplanvorschlages erklärt
sich der Schuldner bereit, den pfändbaren Teil seines Einkommens
für die Zeit von vier Jahren und acht Monaten nach Eintritt der
Rechtskraft des Beschlusses, mit dem das Abschöpfungsverfahren
eingeleitet wird, an einen vom Gericht zu bestellenden Treuhänder
abzutreten.</w:t>
      </w:r>
    </w:p>
    <w:p>
      <w:pPr>
        <w:widowControl w:val="on"/>
        <w:pBdr/>
        <w:spacing w:before="140" w:after="240" w:line="288" w:lineRule="auto"/>
        <w:ind w:left="0" w:right="0"/>
        <w:jc w:val="left"/>
      </w:pPr>
      <w:r>
        <w:rPr>
          <w:rFonts w:ascii="Arial" w:hAnsi="Arial" w:eastAsia="Arial" w:cs="Arial"/>
          <w:color w:val="000000"/>
          <w:sz w:val="20"/>
          <w:szCs w:val="20"/>
        </w:rPr>
        <w:t xml:space="preserve">Einleitungshindernisse gem § 201 IO liegen nicht
vor.</w:t>
      </w:r>
    </w:p>
    <w:p>
      <w:pPr>
        <w:widowControl w:val="on"/>
        <w:pBdr/>
        <w:spacing w:before="140" w:after="240" w:line="288" w:lineRule="auto"/>
        <w:ind w:left="0" w:right="0"/>
        <w:jc w:val="left"/>
      </w:pPr>
      <w:r>
        <w:rPr>
          <w:rFonts w:ascii="Arial" w:hAnsi="Arial" w:eastAsia="Arial" w:cs="Arial"/>
          <w:color w:val="000000"/>
          <w:sz w:val="20"/>
          <w:szCs w:val="20"/>
        </w:rPr>
        <w:t xml:space="preserve">Für den Fall, dass die Bestätigung der Annahme des vorgelegten
Zahlungsplans versagt bleibt, stellt der Schuldner somit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die Durchführung eines Abschöpfungsverfahrens mit
Restschuldbefreiung zu bewilligen.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Max Schuldner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 198 Abs 1 IO sieht vor, dass der Schuldner bei einer
unverschuldeten Änderung der Einkommens- und Vermögenslage, die
dazu führt, dass er die Raten aus dem Zahlungsplan nicht erfüllen
kann, binnen 14 Tagen nach Erhalt einer qualifizierten Mahnung
durch einen Gläubiger, den Antrag auf Abstimmung über einen neuen
Zahlungsplan und die Einleitung eines Abschöpfungsverfahrens
stellen kann. Die Forderungen leben diesfalls gem Abs 2
erst wieder auf, wenn dem Zahlungsplan die Bestätigung versagt oder
der Antrag auf Einleitung des Abschöpfungsverfahrens abgewiesen
wird. Auf die Dauer des Abschöpfungsverfahrens ist die bisherige
Frist des Zahlungsplans zur Hälfte anzurechnen.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148359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6312258">
    <w:multiLevelType w:val="hybridMultilevel"/>
    <w:lvl w:ilvl="0" w:tplc="46558754">
      <w:start w:val="1"/>
      <w:numFmt w:val="decimal"/>
      <w:lvlText w:val="%1."/>
      <w:lvlJc w:val="left"/>
      <w:pPr>
        <w:ind w:left="720" w:hanging="360"/>
      </w:pPr>
    </w:lvl>
    <w:lvl w:ilvl="1" w:tplc="46558754" w:tentative="1">
      <w:start w:val="1"/>
      <w:numFmt w:val="lowerLetter"/>
      <w:lvlText w:val="%2."/>
      <w:lvlJc w:val="left"/>
      <w:pPr>
        <w:ind w:left="1440" w:hanging="360"/>
      </w:pPr>
    </w:lvl>
    <w:lvl w:ilvl="2" w:tplc="46558754" w:tentative="1">
      <w:start w:val="1"/>
      <w:numFmt w:val="lowerRoman"/>
      <w:lvlText w:val="%3."/>
      <w:lvlJc w:val="right"/>
      <w:pPr>
        <w:ind w:left="2160" w:hanging="180"/>
      </w:pPr>
    </w:lvl>
    <w:lvl w:ilvl="3" w:tplc="46558754" w:tentative="1">
      <w:start w:val="1"/>
      <w:numFmt w:val="decimal"/>
      <w:lvlText w:val="%4."/>
      <w:lvlJc w:val="left"/>
      <w:pPr>
        <w:ind w:left="2880" w:hanging="360"/>
      </w:pPr>
    </w:lvl>
    <w:lvl w:ilvl="4" w:tplc="46558754" w:tentative="1">
      <w:start w:val="1"/>
      <w:numFmt w:val="lowerLetter"/>
      <w:lvlText w:val="%5."/>
      <w:lvlJc w:val="left"/>
      <w:pPr>
        <w:ind w:left="3600" w:hanging="360"/>
      </w:pPr>
    </w:lvl>
    <w:lvl w:ilvl="5" w:tplc="46558754" w:tentative="1">
      <w:start w:val="1"/>
      <w:numFmt w:val="lowerRoman"/>
      <w:lvlText w:val="%6."/>
      <w:lvlJc w:val="right"/>
      <w:pPr>
        <w:ind w:left="4320" w:hanging="180"/>
      </w:pPr>
    </w:lvl>
    <w:lvl w:ilvl="6" w:tplc="46558754" w:tentative="1">
      <w:start w:val="1"/>
      <w:numFmt w:val="decimal"/>
      <w:lvlText w:val="%7."/>
      <w:lvlJc w:val="left"/>
      <w:pPr>
        <w:ind w:left="5040" w:hanging="360"/>
      </w:pPr>
    </w:lvl>
    <w:lvl w:ilvl="7" w:tplc="46558754" w:tentative="1">
      <w:start w:val="1"/>
      <w:numFmt w:val="lowerLetter"/>
      <w:lvlText w:val="%8."/>
      <w:lvlJc w:val="left"/>
      <w:pPr>
        <w:ind w:left="5760" w:hanging="360"/>
      </w:pPr>
    </w:lvl>
    <w:lvl w:ilvl="8" w:tplc="46558754" w:tentative="1">
      <w:start w:val="1"/>
      <w:numFmt w:val="lowerRoman"/>
      <w:lvlText w:val="%9."/>
      <w:lvlJc w:val="right"/>
      <w:pPr>
        <w:ind w:left="6480" w:hanging="180"/>
      </w:pPr>
    </w:lvl>
  </w:abstractNum>
  <w:abstractNum w:abstractNumId="71577557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6312257">
    <w:multiLevelType w:val="hybridMultilevel"/>
    <w:lvl w:ilvl="0" w:tplc="41396002">
      <w:start w:val="1"/>
      <w:numFmt w:val="decimal"/>
      <w:lvlText w:val="%1."/>
      <w:lvlJc w:val="left"/>
      <w:pPr>
        <w:ind w:left="720" w:hanging="360"/>
      </w:pPr>
    </w:lvl>
    <w:lvl w:ilvl="1" w:tplc="41396002" w:tentative="1">
      <w:start w:val="1"/>
      <w:numFmt w:val="lowerLetter"/>
      <w:lvlText w:val="%2."/>
      <w:lvlJc w:val="left"/>
      <w:pPr>
        <w:ind w:left="1440" w:hanging="360"/>
      </w:pPr>
    </w:lvl>
    <w:lvl w:ilvl="2" w:tplc="41396002" w:tentative="1">
      <w:start w:val="1"/>
      <w:numFmt w:val="lowerRoman"/>
      <w:lvlText w:val="%3."/>
      <w:lvlJc w:val="right"/>
      <w:pPr>
        <w:ind w:left="2160" w:hanging="180"/>
      </w:pPr>
    </w:lvl>
    <w:lvl w:ilvl="3" w:tplc="41396002" w:tentative="1">
      <w:start w:val="1"/>
      <w:numFmt w:val="decimal"/>
      <w:lvlText w:val="%4."/>
      <w:lvlJc w:val="left"/>
      <w:pPr>
        <w:ind w:left="2880" w:hanging="360"/>
      </w:pPr>
    </w:lvl>
    <w:lvl w:ilvl="4" w:tplc="41396002" w:tentative="1">
      <w:start w:val="1"/>
      <w:numFmt w:val="lowerLetter"/>
      <w:lvlText w:val="%5."/>
      <w:lvlJc w:val="left"/>
      <w:pPr>
        <w:ind w:left="3600" w:hanging="360"/>
      </w:pPr>
    </w:lvl>
    <w:lvl w:ilvl="5" w:tplc="41396002" w:tentative="1">
      <w:start w:val="1"/>
      <w:numFmt w:val="lowerRoman"/>
      <w:lvlText w:val="%6."/>
      <w:lvlJc w:val="right"/>
      <w:pPr>
        <w:ind w:left="4320" w:hanging="180"/>
      </w:pPr>
    </w:lvl>
    <w:lvl w:ilvl="6" w:tplc="41396002" w:tentative="1">
      <w:start w:val="1"/>
      <w:numFmt w:val="decimal"/>
      <w:lvlText w:val="%7."/>
      <w:lvlJc w:val="left"/>
      <w:pPr>
        <w:ind w:left="5040" w:hanging="360"/>
      </w:pPr>
    </w:lvl>
    <w:lvl w:ilvl="7" w:tplc="41396002" w:tentative="1">
      <w:start w:val="1"/>
      <w:numFmt w:val="lowerLetter"/>
      <w:lvlText w:val="%8."/>
      <w:lvlJc w:val="left"/>
      <w:pPr>
        <w:ind w:left="5760" w:hanging="360"/>
      </w:pPr>
    </w:lvl>
    <w:lvl w:ilvl="8" w:tplc="41396002" w:tentative="1">
      <w:start w:val="1"/>
      <w:numFmt w:val="lowerRoman"/>
      <w:lvlText w:val="%9."/>
      <w:lvlJc w:val="right"/>
      <w:pPr>
        <w:ind w:left="6480" w:hanging="180"/>
      </w:pPr>
    </w:lvl>
  </w:abstractNum>
  <w:abstractNum w:abstractNumId="46312256">
    <w:multiLevelType w:val="hybridMultilevel"/>
    <w:lvl w:ilvl="0" w:tplc="85422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12256">
    <w:abstractNumId w:val="46312256"/>
  </w:num>
  <w:num w:numId="46312257">
    <w:abstractNumId w:val="46312257"/>
  </w:num>
  <w:num w:numId="715775579">
    <w:abstractNumId w:val="715775579"/>
  </w:num>
  <w:num w:numId="46312258">
    <w:abstractNumId w:val="46312258"/>
  </w:num>
  <w:num w:numId="521483590">
    <w:abstractNumId w:val="5214835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63596568" Type="http://schemas.openxmlformats.org/officeDocument/2006/relationships/numbering" Target="numbering.xml"/><Relationship Id="rId64169109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