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187782" w:name="document"/>
    <w:bookmarkEnd w:id="18187782"/>
    <w:p/>
    <w:p>
      <w:pPr>
        <w:widowControl w:val="on"/>
        <w:pBdr/>
        <w:spacing w:before="0" w:after="280" w:line="240" w:lineRule="auto"/>
        <w:ind w:left="0" w:right="0"/>
        <w:jc w:val="left"/>
      </w:pPr>
      <w:r>
        <w:rPr>
          <w:rFonts w:ascii="Arial" w:hAnsi="Arial" w:eastAsia="Arial" w:cs="Arial"/>
          <w:color w:val="363A40"/>
          <w:sz w:val="24"/>
          <w:szCs w:val="24"/>
        </w:rPr>
        <w:t xml:space="preserve">Dokument-ID: 867351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Wiedereröffnung des schuldnerischen
Unternehmens</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Bisambergerstraße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Februar 20…</w:t>
      </w:r>
    </w:p>
    <w:p>
      <w:pPr>
        <w:widowControl w:val="on"/>
        <w:pBdr/>
        <w:spacing w:before="140" w:after="240" w:line="288" w:lineRule="auto"/>
        <w:ind w:left="0" w:right="0"/>
        <w:jc w:val="left"/>
      </w:pPr>
      <w:r>
        <w:rPr>
          <w:rFonts w:ascii="Arial" w:hAnsi="Arial" w:eastAsia="Arial" w:cs="Arial"/>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815"/>
        <w:gridCol w:w="8085"/>
      </w:tblGrid>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Friedrich Advokat</w:t>
            </w:r>
            <w:r>
              <w:rPr>
                <w:rFonts w:ascii="Arial" w:hAnsi="Arial" w:eastAsia="Arial" w:cs="Arial"/>
                <w:color w:val="000000"/>
                <w:position w:val="0"/>
                <w:sz w:val="20"/>
                <w:szCs w:val="20"/>
                <w:shd w:val="clear" w:color="auto" w:fill="FFFFFF"/>
              </w:rPr>
              <w:br/>
              <w:t xml:space="preserve">Hauptplatz 15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18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808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2100 Korneuburg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Wiedereröffnung des
schuldnerischen Unternehmens</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r>
        <w:rPr>
          <w:rFonts w:ascii="Arial" w:hAnsi="Arial" w:eastAsia="Arial" w:cs="Arial"/>
          <w:color w:val="000000"/>
          <w:sz w:val="20"/>
          <w:szCs w:val="20"/>
        </w:rPr>
        <w:br/>
        <w:t xml:space="preserve">Je 1 GS samt Beilage direkt den Gläubigerschutzverbänden AKV, KSV,
ISA und Creditreform sowie dem Schuldnervertreter übermittelt.</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15. September 20… wurde der Antrag auf
Schließung des schuldnerischen Unternehmens insolvenzgerichtlich
genehmigt und in weiterer Folge die Unternehmensschließung in der
Insolvenzdatei veröffentlicht.</w:t>
      </w:r>
    </w:p>
    <w:p>
      <w:pPr>
        <w:widowControl w:val="on"/>
        <w:pBdr/>
        <w:spacing w:before="140" w:after="240" w:line="288" w:lineRule="auto"/>
        <w:ind w:left="0" w:right="0"/>
        <w:jc w:val="left"/>
      </w:pPr>
      <w:r>
        <w:rPr>
          <w:rFonts w:ascii="Arial" w:hAnsi="Arial" w:eastAsia="Arial" w:cs="Arial"/>
          <w:color w:val="000000"/>
          <w:sz w:val="20"/>
          <w:szCs w:val="20"/>
        </w:rPr>
        <w:t xml:space="preserve">Mittlerweile wurde an den Geschäftsführer der Schuldnerin ein
neues Geschäftskonzept herangetragen, das nach den vorliegenden
Kalkulationsunterlagen eine gewinnbringende Unternehmensfortführung
und damit die Finanzierung eines Sanierungsplans ermöglichen sollte
(Prognoserechnung – Beilage ./1). So soll das schuldnerische
Unternehmen im Wesentlichen Planungsleistungen für
Elektroinstallationen erbringen und in weiterer Folge die
Ausführung überwachen. Hierfür sollte zunächst die Arbeitskraft des
Geschäftsführers und einer halbtags beschäftigten Sekretärin
ausreichen; Materialkosten müssten keine getragen werden, der
Geschäftsführer kann in seinem Privathaus ein Büro einrichten, das
er dem schuldnerischen Unternehmen zumindest für die Dauer des
Konkursverfahrens kostenlos zur Verfügung stellen kann.</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hat bereits einen Auftrag lukriert; der
diesbezügliche Vertrag wurde unter der aufschiebenden Bedingung der
Wiedereröffnung des schuldnerischen Unternehmens geschlossen. Zur
Deckung der Anlaufkosten hat die Schuldner GmbH von dritter Seite
einen Betrag in Höhe von EUR 5.000,– erhalten.</w:t>
      </w:r>
    </w:p>
    <w:p>
      <w:pPr>
        <w:widowControl w:val="on"/>
        <w:pBdr/>
        <w:spacing w:before="140" w:after="240" w:line="288" w:lineRule="auto"/>
        <w:ind w:left="0" w:right="0"/>
        <w:jc w:val="left"/>
      </w:pPr>
      <w:r>
        <w:rPr>
          <w:rFonts w:ascii="Arial" w:hAnsi="Arial" w:eastAsia="Arial" w:cs="Arial"/>
          <w:color w:val="000000"/>
          <w:sz w:val="20"/>
          <w:szCs w:val="20"/>
        </w:rPr>
        <w:t xml:space="preserve">Insgesamt zeigt sich aus der Prognoserechnung (Beilage ./1),
dass gem § 115 Abs 3 IO eine Erhöhung des Ausfalls
der Gläubiger durch die Wiedereröffnung des schuldnerischen
Unternehmens vermeidbar ist, weil der Schuldnerin andernfalls keine
Einnahmequelle zur Verfügung steht.</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stellt daher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Landesgericht Korneuburg als Insolvenzgericht möge die
Wiedereröffnung des schuldnerischen Unternehmens
gem § 115 Abs 3 IO bewilligen.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r>
        <w:rPr>
          <w:rFonts w:ascii="Arial" w:hAnsi="Arial" w:eastAsia="Arial" w:cs="Arial"/>
          <w:color w:val="000000"/>
          <w:sz w:val="20"/>
          <w:szCs w:val="20"/>
        </w:rPr>
        <w:b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Gem § 115 Abs 1 IO darf das Insolvenzgericht die
Schließung des Unternehmens nur anordnen oder bewilligen, wenn
feststeht, dass sonst eine Erhöhung des Ausfalls, den die
Insolvenzgläubiger erleiden, nicht vermieden werden kann. Gemäß
Abs 3 darf das Insolvenzgericht die Wiedereröffnung des
Unternehmens nur dann anordnen oder bewilligen, wenn dadurch eine
Erhöhung des Ausfalls, den die Insolvenzgläubiger erleiden,
voraussichtlich vermeidbar ist. Hat das Insolvenzgericht die
Schließung aber bereits rechtskräftig angeordnet, so bedarf es für
eine Wiedereröffnung geänderter Verhältnisse (</w:t>
      </w:r>
      <w:r>
        <w:rPr>
          <w:rFonts w:ascii="Arial" w:hAnsi="Arial" w:eastAsia="Arial" w:cs="Arial"/>
          <w:i/>
          <w:iCs/>
          <w:color w:val="000000"/>
          <w:sz w:val="20"/>
          <w:szCs w:val="20"/>
        </w:rPr>
        <w:t xml:space="preserve">Mohr</w:t>
      </w:r>
      <w:r>
        <w:rPr>
          <w:rFonts w:ascii="Arial" w:hAnsi="Arial" w:eastAsia="Arial" w:cs="Arial"/>
          <w:color w:val="000000"/>
          <w:sz w:val="20"/>
          <w:szCs w:val="20"/>
        </w:rPr>
        <w:t xml:space="preserve">,
KO</w:t>
      </w:r>
      <w:r>
        <w:rPr>
          <w:rFonts w:ascii="Arial" w:hAnsi="Arial" w:eastAsia="Arial" w:cs="Arial"/>
          <w:color w:val="000000"/>
          <w:position w:val="3"/>
          <w:sz w:val="18"/>
          <w:szCs w:val="18"/>
          <w:vertAlign w:val="superscript"/>
        </w:rPr>
        <w:t xml:space="preserve">10</w:t>
      </w:r>
      <w:r>
        <w:rPr>
          <w:rFonts w:ascii="Arial" w:hAnsi="Arial" w:eastAsia="Arial" w:cs="Arial"/>
          <w:color w:val="000000"/>
          <w:sz w:val="20"/>
          <w:szCs w:val="20"/>
        </w:rPr>
        <w:t xml:space="preserve">, § 115 KO Rz 40).</w:t>
      </w:r>
    </w:p>
    <w:p>
      <w:pPr>
        <w:widowControl w:val="on"/>
        <w:pBdr/>
        <w:spacing w:before="140" w:after="240" w:line="288" w:lineRule="auto"/>
        <w:ind w:left="0" w:right="0"/>
        <w:jc w:val="left"/>
      </w:pPr>
      <w:r>
        <w:rPr>
          <w:rFonts w:ascii="Arial" w:hAnsi="Arial" w:eastAsia="Arial" w:cs="Arial"/>
          <w:color w:val="000000"/>
          <w:sz w:val="20"/>
          <w:szCs w:val="20"/>
        </w:rPr>
        <w:t xml:space="preserve">Im Sanierungsverfahren mit Eigenverwaltung bedarf der Schuldner
von der Verfahrenseröffnung an zur Schließung und Wiedereröffnung
seines Unternehmens der Bewilligung des Insolvenzgerichts, das vor
einer allfälligen Entscheidung eine Stellungnahme des
Sanierungsverwalters einholen wird.</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5600">
    <w:multiLevelType w:val="hybridMultilevel"/>
    <w:lvl w:ilvl="0" w:tplc="87700701">
      <w:start w:val="1"/>
      <w:numFmt w:val="decimal"/>
      <w:lvlText w:val="%1."/>
      <w:lvlJc w:val="left"/>
      <w:pPr>
        <w:ind w:left="720" w:hanging="360"/>
      </w:pPr>
    </w:lvl>
    <w:lvl w:ilvl="1" w:tplc="87700701" w:tentative="1">
      <w:start w:val="1"/>
      <w:numFmt w:val="lowerLetter"/>
      <w:lvlText w:val="%2."/>
      <w:lvlJc w:val="left"/>
      <w:pPr>
        <w:ind w:left="1440" w:hanging="360"/>
      </w:pPr>
    </w:lvl>
    <w:lvl w:ilvl="2" w:tplc="87700701" w:tentative="1">
      <w:start w:val="1"/>
      <w:numFmt w:val="lowerRoman"/>
      <w:lvlText w:val="%3."/>
      <w:lvlJc w:val="right"/>
      <w:pPr>
        <w:ind w:left="2160" w:hanging="180"/>
      </w:pPr>
    </w:lvl>
    <w:lvl w:ilvl="3" w:tplc="87700701" w:tentative="1">
      <w:start w:val="1"/>
      <w:numFmt w:val="decimal"/>
      <w:lvlText w:val="%4."/>
      <w:lvlJc w:val="left"/>
      <w:pPr>
        <w:ind w:left="2880" w:hanging="360"/>
      </w:pPr>
    </w:lvl>
    <w:lvl w:ilvl="4" w:tplc="87700701" w:tentative="1">
      <w:start w:val="1"/>
      <w:numFmt w:val="lowerLetter"/>
      <w:lvlText w:val="%5."/>
      <w:lvlJc w:val="left"/>
      <w:pPr>
        <w:ind w:left="3600" w:hanging="360"/>
      </w:pPr>
    </w:lvl>
    <w:lvl w:ilvl="5" w:tplc="87700701" w:tentative="1">
      <w:start w:val="1"/>
      <w:numFmt w:val="lowerRoman"/>
      <w:lvlText w:val="%6."/>
      <w:lvlJc w:val="right"/>
      <w:pPr>
        <w:ind w:left="4320" w:hanging="180"/>
      </w:pPr>
    </w:lvl>
    <w:lvl w:ilvl="6" w:tplc="87700701" w:tentative="1">
      <w:start w:val="1"/>
      <w:numFmt w:val="decimal"/>
      <w:lvlText w:val="%7."/>
      <w:lvlJc w:val="left"/>
      <w:pPr>
        <w:ind w:left="5040" w:hanging="360"/>
      </w:pPr>
    </w:lvl>
    <w:lvl w:ilvl="7" w:tplc="87700701" w:tentative="1">
      <w:start w:val="1"/>
      <w:numFmt w:val="lowerLetter"/>
      <w:lvlText w:val="%8."/>
      <w:lvlJc w:val="left"/>
      <w:pPr>
        <w:ind w:left="5760" w:hanging="360"/>
      </w:pPr>
    </w:lvl>
    <w:lvl w:ilvl="8" w:tplc="87700701" w:tentative="1">
      <w:start w:val="1"/>
      <w:numFmt w:val="lowerRoman"/>
      <w:lvlText w:val="%9."/>
      <w:lvlJc w:val="right"/>
      <w:pPr>
        <w:ind w:left="6480" w:hanging="180"/>
      </w:pPr>
    </w:lvl>
  </w:abstractNum>
  <w:abstractNum w:abstractNumId="57065599">
    <w:multiLevelType w:val="hybridMultilevel"/>
    <w:lvl w:ilvl="0" w:tplc="89232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5599">
    <w:abstractNumId w:val="57065599"/>
  </w:num>
  <w:num w:numId="57065600">
    <w:abstractNumId w:val="57065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6283404" Type="http://schemas.openxmlformats.org/officeDocument/2006/relationships/numbering" Target="numbering.xml"/><Relationship Id="rId46936763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