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4964189" w:name="document"/>
    <w:bookmarkEnd w:id="84964189"/>
    <w:p/>
    <w:p>
      <w:pPr>
        <w:widowControl w:val="on"/>
        <w:pBdr/>
        <w:spacing w:before="0" w:after="280" w:line="240" w:lineRule="auto"/>
        <w:ind w:left="0" w:right="0"/>
        <w:jc w:val="left"/>
      </w:pPr>
      <w:r>
        <w:rPr>
          <w:rFonts w:ascii="Arial" w:hAnsi="Arial" w:eastAsia="Arial" w:cs="Arial"/>
          <w:color w:val="363A40"/>
          <w:sz w:val="24"/>
          <w:szCs w:val="24"/>
        </w:rPr>
        <w:t xml:space="preserve">Dokument-ID: 866202 | Barbara Pogacar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des Gläubigers auf Eröffnung des
Insolvenzverfahrens</w:t>
      </w:r>
    </w:p>
    <w:p>
      <w:pPr>
        <w:widowControl w:val="on"/>
        <w:pBdr/>
        <w:spacing w:before="140" w:after="240" w:line="288" w:lineRule="auto"/>
        <w:ind w:left="0" w:right="0"/>
        <w:jc w:val="left"/>
      </w:pPr>
      <w:r>
        <w:rPr>
          <w:rFonts w:ascii="Arial" w:hAnsi="Arial" w:eastAsia="Arial" w:cs="Arial"/>
          <w:color w:val="000000"/>
          <w:sz w:val="20"/>
          <w:szCs w:val="20"/>
        </w:rPr>
        <w:t xml:space="preserve">Dr. Christian Rechtsanwalt</w:t>
      </w:r>
      <w:r>
        <w:rPr>
          <w:rFonts w:ascii="Arial" w:hAnsi="Arial" w:eastAsia="Arial" w:cs="Arial"/>
          <w:color w:val="000000"/>
          <w:sz w:val="20"/>
          <w:szCs w:val="20"/>
        </w:rPr>
        <w:br/>
        <w:t xml:space="preserve">Hauptplatz 10</w:t>
      </w:r>
      <w:r>
        <w:rPr>
          <w:rFonts w:ascii="Arial" w:hAnsi="Arial" w:eastAsia="Arial" w:cs="Arial"/>
          <w:color w:val="000000"/>
          <w:sz w:val="20"/>
          <w:szCs w:val="20"/>
        </w:rPr>
        <w:br/>
        <w:t xml:space="preserve">2100 Korneuburg</w:t>
      </w:r>
    </w:p>
    <w:p>
      <w:pPr>
        <w:widowControl w:val="on"/>
        <w:pBdr/>
        <w:spacing w:before="140" w:after="240" w:line="288" w:lineRule="auto"/>
        <w:ind w:left="0" w:right="0"/>
        <w:jc w:val="left"/>
      </w:pPr>
      <w:r>
        <w:rPr>
          <w:rFonts w:ascii="Arial" w:hAnsi="Arial" w:eastAsia="Arial" w:cs="Arial"/>
          <w:b/>
          <w:bCs/>
          <w:color w:val="000000"/>
          <w:sz w:val="20"/>
          <w:szCs w:val="20"/>
        </w:rPr>
        <w:t xml:space="preserve">Landesgericht Korneuburg</w:t>
      </w:r>
      <w:r>
        <w:rPr>
          <w:rFonts w:ascii="Arial" w:hAnsi="Arial" w:eastAsia="Arial" w:cs="Arial"/>
          <w:color w:val="000000"/>
          <w:sz w:val="20"/>
          <w:szCs w:val="20"/>
        </w:rPr>
        <w:br/>
        <w:t xml:space="preserve">Landesgerichtsplatz 1</w:t>
      </w:r>
      <w:r>
        <w:rPr>
          <w:rFonts w:ascii="Arial" w:hAnsi="Arial" w:eastAsia="Arial" w:cs="Arial"/>
          <w:color w:val="000000"/>
          <w:sz w:val="20"/>
          <w:szCs w:val="20"/>
        </w:rPr>
        <w:br/>
        <w:t xml:space="preserve">2100 Korneuburg</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Antragstellerin: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Lieferant GmbH</w:t>
            </w:r>
            <w:r>
              <w:rPr>
                <w:rFonts w:ascii="Arial" w:hAnsi="Arial" w:eastAsia="Arial" w:cs="Arial"/>
                <w:color w:val="000000"/>
                <w:position w:val="0"/>
                <w:sz w:val="20"/>
                <w:szCs w:val="20"/>
                <w:shd w:val="clear" w:color="auto" w:fill="FFFFFF"/>
              </w:rPr>
              <w:br/>
              <w:t xml:space="preserve">Lieferantengasse 9</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Christian Rechtsanwalt</w:t>
            </w:r>
            <w:r>
              <w:rPr>
                <w:rFonts w:ascii="Arial" w:hAnsi="Arial" w:eastAsia="Arial" w:cs="Arial"/>
                <w:color w:val="000000"/>
                <w:position w:val="0"/>
                <w:sz w:val="20"/>
                <w:szCs w:val="20"/>
                <w:shd w:val="clear" w:color="auto" w:fill="FFFFFF"/>
              </w:rPr>
              <w:br/>
              <w:t xml:space="preserve">Hauptplatz 10</w:t>
            </w:r>
            <w:r>
              <w:rPr>
                <w:rFonts w:ascii="Arial" w:hAnsi="Arial" w:eastAsia="Arial" w:cs="Arial"/>
                <w:color w:val="000000"/>
                <w:position w:val="0"/>
                <w:sz w:val="20"/>
                <w:szCs w:val="20"/>
                <w:shd w:val="clear" w:color="auto" w:fill="FFFFFF"/>
              </w:rPr>
              <w:br/>
              <w:t xml:space="preserve">2100 Korneuburg</w:t>
            </w:r>
            <w:r>
              <w:rPr>
                <w:rFonts w:ascii="Arial" w:hAnsi="Arial" w:eastAsia="Arial" w:cs="Arial"/>
                <w:color w:val="000000"/>
                <w:position w:val="0"/>
                <w:sz w:val="20"/>
                <w:szCs w:val="20"/>
                <w:shd w:val="clear" w:color="auto" w:fill="FFFFFF"/>
              </w:rPr>
              <w:br/>
              <w:t xml:space="preserve">(Vollmacht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Antragsgegnerin: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Schuldner GmbH</w:t>
            </w:r>
            <w:r>
              <w:rPr>
                <w:rFonts w:ascii="Arial" w:hAnsi="Arial" w:eastAsia="Arial" w:cs="Arial"/>
                <w:color w:val="000000"/>
                <w:position w:val="0"/>
                <w:sz w:val="20"/>
                <w:szCs w:val="20"/>
                <w:shd w:val="clear" w:color="auto" w:fill="FFFFFF"/>
              </w:rPr>
              <w:br/>
              <w:t xml:space="preserve">Bahnstraße 1</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66 ff IO</w:t>
            </w:r>
          </w:p>
        </w:tc>
      </w:tr>
    </w:tbl>
    <w:p>
      <w:pPr>
        <w:widowControl w:val="on"/>
        <w:pBdr/>
        <w:spacing w:before="140" w:after="240" w:line="288" w:lineRule="auto"/>
        <w:ind w:left="0" w:right="0"/>
        <w:jc w:val="right"/>
      </w:pPr>
      <w:r>
        <w:rPr>
          <w:rFonts w:ascii="Arial" w:hAnsi="Arial" w:eastAsia="Arial" w:cs="Arial"/>
          <w:color w:val="000000"/>
          <w:sz w:val="20"/>
          <w:szCs w:val="20"/>
        </w:rPr>
        <w:t xml:space="preserve">8 Beilagen</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Eröffnung des
Insolvenzverfahrens</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Eingangs gibt die Antragstellerin bekannt, dass sie Dr.
Christian Rechtsanwalt mit ihrer rechtlichen Vertretung beauftragt
hat. Die Antragstellerin stellt durch ihren ausgewiesenen
Rechtsvertreter den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 auf Eröffnung des
Insolvenzverfahrens: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1. Forderung der Antragstellerin</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ist Lieferantin der Antragsgegnerin, die am
Standort 2100 Korneuburg, Bahnstraße 1, ein
Elektroinstallationsunternehmen betreibt.</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hat der Antragsgegnerin vereinbarungsgemäß
Ware im Wert von insgesamt EUR 16.469,78 geliefert; die
Antragsgegnerin hat den in Rechnung gestellten Betrag trotz
ordnungsgemäßer Lieferung und Fälligkeit nicht bezahlt. Die
Antragsgegnerin war sohin gezwungen, eine Mahnklage gegen die
Antragsgegnerin einzubringen. Die Antragstellerin hat so einen
rechtskräftigen und vollstreckbaren Zahlungsbefehl erwirkt und
aufgrund dessen beim Bezirksgericht Korneuburg ein
Exekutionsverfahren zu GZ 35 E 245/… x gegen die Antragsgegnerin
geführt. Dieses Exekutionsverfahren war aber erfolglos.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Lieferschein Nr 100/09 vom … (Beilage ./1);</w:t>
            </w:r>
            <w:r>
              <w:rPr>
                <w:rFonts w:ascii="Arial" w:hAnsi="Arial" w:eastAsia="Arial" w:cs="Arial"/>
                <w:color w:val="000000"/>
                <w:position w:val="0"/>
                <w:sz w:val="20"/>
                <w:szCs w:val="20"/>
                <w:shd w:val="clear" w:color="auto" w:fill="FFFFFF"/>
              </w:rPr>
              <w:br/>
              <w:t xml:space="preserve">Rechnung Nr 100/09 vom … (Beilage./2);</w:t>
            </w:r>
            <w:r>
              <w:rPr>
                <w:rFonts w:ascii="Arial" w:hAnsi="Arial" w:eastAsia="Arial" w:cs="Arial"/>
                <w:color w:val="000000"/>
                <w:position w:val="0"/>
                <w:sz w:val="20"/>
                <w:szCs w:val="20"/>
                <w:shd w:val="clear" w:color="auto" w:fill="FFFFFF"/>
              </w:rPr>
              <w:br/>
              <w:t xml:space="preserve">Lieferschein Nr 105/09 vom … (Beilage ./3);</w:t>
            </w:r>
            <w:r>
              <w:rPr>
                <w:rFonts w:ascii="Arial" w:hAnsi="Arial" w:eastAsia="Arial" w:cs="Arial"/>
                <w:color w:val="000000"/>
                <w:position w:val="0"/>
                <w:sz w:val="20"/>
                <w:szCs w:val="20"/>
                <w:shd w:val="clear" w:color="auto" w:fill="FFFFFF"/>
              </w:rPr>
              <w:br/>
              <w:t xml:space="preserve">Rechnung Nr 105/09 vom … (Beilage./4);</w:t>
            </w:r>
            <w:r>
              <w:rPr>
                <w:rFonts w:ascii="Arial" w:hAnsi="Arial" w:eastAsia="Arial" w:cs="Arial"/>
                <w:color w:val="000000"/>
                <w:position w:val="0"/>
                <w:sz w:val="20"/>
                <w:szCs w:val="20"/>
                <w:shd w:val="clear" w:color="auto" w:fill="FFFFFF"/>
              </w:rPr>
              <w:br/>
              <w:t xml:space="preserve">Lieferschein Nr 12/10 vom … (Beilage ./5);</w:t>
            </w:r>
            <w:r>
              <w:rPr>
                <w:rFonts w:ascii="Arial" w:hAnsi="Arial" w:eastAsia="Arial" w:cs="Arial"/>
                <w:color w:val="000000"/>
                <w:position w:val="0"/>
                <w:sz w:val="20"/>
                <w:szCs w:val="20"/>
                <w:shd w:val="clear" w:color="auto" w:fill="FFFFFF"/>
              </w:rPr>
              <w:br/>
              <w:t xml:space="preserve">Rechnung Nr 12/10 vom … (Beilage./6);</w:t>
            </w:r>
            <w:r>
              <w:rPr>
                <w:rFonts w:ascii="Arial" w:hAnsi="Arial" w:eastAsia="Arial" w:cs="Arial"/>
                <w:color w:val="000000"/>
                <w:position w:val="0"/>
                <w:sz w:val="20"/>
                <w:szCs w:val="20"/>
                <w:shd w:val="clear" w:color="auto" w:fill="FFFFFF"/>
              </w:rPr>
              <w:br/>
              <w:t xml:space="preserve">Zahlungsbefehl vom … (Beilage ./7);</w:t>
            </w:r>
            <w:r>
              <w:rPr>
                <w:rFonts w:ascii="Arial" w:hAnsi="Arial" w:eastAsia="Arial" w:cs="Arial"/>
                <w:color w:val="000000"/>
                <w:position w:val="0"/>
                <w:sz w:val="20"/>
                <w:szCs w:val="20"/>
                <w:shd w:val="clear" w:color="auto" w:fill="FFFFFF"/>
              </w:rPr>
              <w:br/>
              <w:t xml:space="preserve">Exekutionsbewilligung vom … (Beilage ./8).</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2. Insolvenz der Antragsgegnerin</w:t>
      </w:r>
    </w:p>
    <w:p>
      <w:pPr>
        <w:widowControl w:val="on"/>
        <w:pBdr/>
        <w:spacing w:before="140" w:after="240" w:line="288" w:lineRule="auto"/>
        <w:ind w:left="0" w:right="0"/>
        <w:jc w:val="left"/>
      </w:pPr>
      <w:r>
        <w:rPr>
          <w:rFonts w:ascii="Arial" w:hAnsi="Arial" w:eastAsia="Arial" w:cs="Arial"/>
          <w:color w:val="000000"/>
          <w:sz w:val="20"/>
          <w:szCs w:val="20"/>
        </w:rPr>
        <w:t xml:space="preserve">Die Antragsgegnerin hat die Forderung der Antragstellerin trotz
ordnungsgemäßer Lieferung und Fälligkeit der in Rechnung gestellten
Beträge nicht beglichen; das Exekutionsverfahren der
Antragstellerin in das Vermögen der Antragsgegnerin war
erfolglos.</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stellt daher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über das Vermögen der</w:t>
      </w:r>
    </w:p>
    <w:p>
      <w:pPr>
        <w:widowControl w:val="on"/>
        <w:pBdr/>
        <w:spacing w:before="140" w:after="240" w:line="288" w:lineRule="auto"/>
        <w:ind w:left="0" w:right="0"/>
        <w:jc w:val="center"/>
      </w:pPr>
      <w:r>
        <w:rPr>
          <w:rFonts w:ascii="Arial" w:hAnsi="Arial" w:eastAsia="Arial" w:cs="Arial"/>
          <w:color w:val="000000"/>
          <w:sz w:val="20"/>
          <w:szCs w:val="20"/>
        </w:rPr>
        <w:t xml:space="preserve">Schuldner GmbH</w:t>
      </w:r>
    </w:p>
    <w:p>
      <w:pPr>
        <w:widowControl w:val="on"/>
        <w:pBdr/>
        <w:spacing w:before="140" w:after="240" w:line="288" w:lineRule="auto"/>
        <w:ind w:left="0" w:right="0"/>
        <w:jc w:val="left"/>
      </w:pPr>
      <w:r>
        <w:rPr>
          <w:rFonts w:ascii="Arial" w:hAnsi="Arial" w:eastAsia="Arial" w:cs="Arial"/>
          <w:color w:val="000000"/>
          <w:sz w:val="20"/>
          <w:szCs w:val="20"/>
        </w:rPr>
        <w:t xml:space="preserve">das Insolvenzverfahren zu eröffnen.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Lieferanten GmbH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Bei Einbringen des Antrags auf Eröffnung des Insolvenzverfahrens
hat der Gläubiger eine Pauschalgebühr Hv EUR 40,– an das
Insolvenzgericht zu bezahlen, die nicht als Insolvenzforderung
geltend gemacht werden kann. Das Insolvenzgericht hat über den
Antrag auch dann zu entscheiden, wenn der Gläubiger diesen
zurückzieht oder die Forderung des Gläubigers nachträglich
beglichen wird. In letzterem Fall ist der Gläubiger auch der Gefahr
der Anfechtung der erhaltenen Zahlung gem den §§ 27 ff IO
ausgesetzt, wenn das Insolvenzgericht bei amtswegiger Prüfung zu
dem Ergebnis gelangen sollte, dass Insolvenz vorliegt und das
Insolenzverfahren zu eröffnen ist.</w:t>
      </w:r>
    </w:p>
    <w:p>
      <w:pPr>
        <w:widowControl w:val="on"/>
        <w:pBdr/>
        <w:spacing w:before="140" w:after="240" w:line="288" w:lineRule="auto"/>
        <w:ind w:left="0" w:right="0"/>
        <w:jc w:val="left"/>
      </w:pPr>
      <w:r>
        <w:rPr>
          <w:rFonts w:ascii="Arial" w:hAnsi="Arial" w:eastAsia="Arial" w:cs="Arial"/>
          <w:color w:val="000000"/>
          <w:sz w:val="20"/>
          <w:szCs w:val="20"/>
        </w:rPr>
        <w:t xml:space="preserve">Der Gläubiger hat im Antrag auf Eröffnung des
Insolvenzverfahrens das Bestehen seiner, wenn auch noch nicht
fälligen, Forderung gegen den Schuldner und die Zahlungsunfähigkeit
bzw Überschuldung des Schuldners glaubhaft zu machen (§ 70
IO).</w:t>
      </w:r>
    </w:p>
    <w:p>
      <w:pPr>
        <w:widowControl w:val="on"/>
        <w:pBdr/>
        <w:spacing w:before="140" w:after="240" w:line="288" w:lineRule="auto"/>
        <w:ind w:left="0" w:right="0"/>
        <w:jc w:val="left"/>
      </w:pPr>
      <w:r>
        <w:rPr>
          <w:rFonts w:ascii="Arial" w:hAnsi="Arial" w:eastAsia="Arial" w:cs="Arial"/>
          <w:color w:val="000000"/>
          <w:sz w:val="20"/>
          <w:szCs w:val="20"/>
        </w:rPr>
        <w:t xml:space="preserve">Zuständiges Gericht ist das Landesgericht, in dessen Sprengel
der Schuldner sein Unternehmen betreibt (§ 63 Abs 1
IO).</w:t>
      </w:r>
    </w:p>
    <w:p>
      <w:pPr>
        <w:widowControl w:val="on"/>
        <w:pBdr/>
        <w:spacing w:before="140" w:after="240" w:line="288" w:lineRule="auto"/>
        <w:ind w:left="0" w:right="0"/>
        <w:jc w:val="left"/>
      </w:pPr>
      <w:r>
        <w:rPr>
          <w:rFonts w:ascii="Arial" w:hAnsi="Arial" w:eastAsia="Arial" w:cs="Arial"/>
          <w:color w:val="000000"/>
          <w:sz w:val="20"/>
          <w:szCs w:val="20"/>
        </w:rPr>
        <w:t xml:space="preserve">Der Gläubiger kann – im Gegensatz zum Schuldner – nicht die
Eröffnung eines Sanierungsverfahrens beantragen. Allerdings hat der
mit einem Antrag auf Eröffnung des Konkursverfahrens konfrontierte
Schuldner die Möglichkeit, durch Vorlage eines Sanierungsplans die
Eröffnung eines Sanierungsverfahrens zu erreichen. Über diese
Möglichkeit ist der Schuldner bei Übermittlung des Antrags auf
Eröffnung des Konkursverfahrens zu belehren.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932001">
    <w:multiLevelType w:val="hybridMultilevel"/>
    <w:lvl w:ilvl="0" w:tplc="29065683">
      <w:start w:val="1"/>
      <w:numFmt w:val="decimal"/>
      <w:lvlText w:val="%1."/>
      <w:lvlJc w:val="left"/>
      <w:pPr>
        <w:ind w:left="720" w:hanging="360"/>
      </w:pPr>
    </w:lvl>
    <w:lvl w:ilvl="1" w:tplc="29065683" w:tentative="1">
      <w:start w:val="1"/>
      <w:numFmt w:val="lowerLetter"/>
      <w:lvlText w:val="%2."/>
      <w:lvlJc w:val="left"/>
      <w:pPr>
        <w:ind w:left="1440" w:hanging="360"/>
      </w:pPr>
    </w:lvl>
    <w:lvl w:ilvl="2" w:tplc="29065683" w:tentative="1">
      <w:start w:val="1"/>
      <w:numFmt w:val="lowerRoman"/>
      <w:lvlText w:val="%3."/>
      <w:lvlJc w:val="right"/>
      <w:pPr>
        <w:ind w:left="2160" w:hanging="180"/>
      </w:pPr>
    </w:lvl>
    <w:lvl w:ilvl="3" w:tplc="29065683" w:tentative="1">
      <w:start w:val="1"/>
      <w:numFmt w:val="decimal"/>
      <w:lvlText w:val="%4."/>
      <w:lvlJc w:val="left"/>
      <w:pPr>
        <w:ind w:left="2880" w:hanging="360"/>
      </w:pPr>
    </w:lvl>
    <w:lvl w:ilvl="4" w:tplc="29065683" w:tentative="1">
      <w:start w:val="1"/>
      <w:numFmt w:val="lowerLetter"/>
      <w:lvlText w:val="%5."/>
      <w:lvlJc w:val="left"/>
      <w:pPr>
        <w:ind w:left="3600" w:hanging="360"/>
      </w:pPr>
    </w:lvl>
    <w:lvl w:ilvl="5" w:tplc="29065683" w:tentative="1">
      <w:start w:val="1"/>
      <w:numFmt w:val="lowerRoman"/>
      <w:lvlText w:val="%6."/>
      <w:lvlJc w:val="right"/>
      <w:pPr>
        <w:ind w:left="4320" w:hanging="180"/>
      </w:pPr>
    </w:lvl>
    <w:lvl w:ilvl="6" w:tplc="29065683" w:tentative="1">
      <w:start w:val="1"/>
      <w:numFmt w:val="decimal"/>
      <w:lvlText w:val="%7."/>
      <w:lvlJc w:val="left"/>
      <w:pPr>
        <w:ind w:left="5040" w:hanging="360"/>
      </w:pPr>
    </w:lvl>
    <w:lvl w:ilvl="7" w:tplc="29065683" w:tentative="1">
      <w:start w:val="1"/>
      <w:numFmt w:val="lowerLetter"/>
      <w:lvlText w:val="%8."/>
      <w:lvlJc w:val="left"/>
      <w:pPr>
        <w:ind w:left="5760" w:hanging="360"/>
      </w:pPr>
    </w:lvl>
    <w:lvl w:ilvl="8" w:tplc="29065683" w:tentative="1">
      <w:start w:val="1"/>
      <w:numFmt w:val="lowerRoman"/>
      <w:lvlText w:val="%9."/>
      <w:lvlJc w:val="right"/>
      <w:pPr>
        <w:ind w:left="6480" w:hanging="180"/>
      </w:pPr>
    </w:lvl>
  </w:abstractNum>
  <w:abstractNum w:abstractNumId="87932000">
    <w:multiLevelType w:val="hybridMultilevel"/>
    <w:lvl w:ilvl="0" w:tplc="845113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932000">
    <w:abstractNumId w:val="87932000"/>
  </w:num>
  <w:num w:numId="87932001">
    <w:abstractNumId w:val="879320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31761430" Type="http://schemas.openxmlformats.org/officeDocument/2006/relationships/numbering" Target="numbering.xml"/><Relationship Id="rId14442208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