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7837371" w:name="document"/>
    <w:bookmarkEnd w:id="67837371"/>
    <w:p/>
    <w:p>
      <w:pPr>
        <w:widowControl w:val="on"/>
        <w:pBdr/>
        <w:spacing w:before="0" w:after="280" w:line="240" w:lineRule="auto"/>
        <w:ind w:left="0" w:right="0"/>
        <w:jc w:val="left"/>
      </w:pPr>
      <w:r>
        <w:rPr>
          <w:rFonts w:ascii="Arial" w:hAnsi="Arial" w:eastAsia="Arial" w:cs="Arial"/>
          <w:color w:val="363A40"/>
          <w:sz w:val="24"/>
          <w:szCs w:val="24"/>
        </w:rPr>
        <w:t xml:space="preserve">Dokument-ID: 867351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Wiedereröffnung des schuldnerischen
Unternehmens</w:t>
      </w:r>
    </w:p>
    <w:p>
      <w:pPr>
        <w:widowControl w:val="on"/>
        <w:pBdr/>
        <w:spacing w:before="140" w:after="240" w:line="288" w:lineRule="auto"/>
        <w:ind w:left="0" w:right="0"/>
        <w:jc w:val="left"/>
      </w:pPr>
      <w:r>
        <w:rPr>
          <w:rFonts w:ascii="Arial" w:hAnsi="Arial" w:eastAsia="Arial" w:cs="Arial"/>
          <w:color w:val="000000"/>
          <w:sz w:val="20"/>
          <w:szCs w:val="20"/>
        </w:rPr>
        <w:t xml:space="preserve">Dr. Klaus Masseverwalter</w:t>
      </w:r>
      <w:r>
        <w:rPr>
          <w:rFonts w:ascii="Arial" w:hAnsi="Arial" w:eastAsia="Arial" w:cs="Arial"/>
          <w:color w:val="000000"/>
          <w:sz w:val="20"/>
          <w:szCs w:val="20"/>
        </w:rPr>
        <w:br/>
        <w:t xml:space="preserve">Bisambergerstraße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25. Februar 20…</w:t>
      </w:r>
    </w:p>
    <w:p>
      <w:pPr>
        <w:widowControl w:val="on"/>
        <w:pBdr/>
        <w:spacing w:before="140" w:after="240" w:line="288" w:lineRule="auto"/>
        <w:ind w:left="0" w:right="0"/>
        <w:jc w:val="left"/>
      </w:pPr>
      <w:r>
        <w:rPr>
          <w:rFonts w:ascii="Arial" w:hAnsi="Arial" w:eastAsia="Arial" w:cs="Arial"/>
          <w:color w:val="000000"/>
          <w:sz w:val="20"/>
          <w:szCs w:val="20"/>
        </w:rPr>
        <w:t xml:space="preserve">GZ 36 S 45/10 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815"/>
        <w:gridCol w:w="8085"/>
      </w:tblGrid>
      <w:tr>
        <w:trPr>
          <w:trHeight w:val="0" w:hRule="atLeast"/>
        </w:trPr>
        <w:tc>
          <w:tcPr>
            <w:tcW w:w="18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808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18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808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Friedrich Advokat</w:t>
            </w:r>
            <w:r>
              <w:rPr>
                <w:rFonts w:ascii="Arial" w:hAnsi="Arial" w:eastAsia="Arial" w:cs="Arial"/>
                <w:color w:val="000000"/>
                <w:position w:val="0"/>
                <w:sz w:val="20"/>
                <w:szCs w:val="20"/>
                <w:shd w:val="clear" w:color="auto" w:fill="FFFFFF"/>
              </w:rPr>
              <w:br/>
              <w:t xml:space="preserve">Hauptplatz 15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18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Masseverwalter:</w:t>
            </w:r>
          </w:p>
        </w:tc>
        <w:tc>
          <w:tcPr>
            <w:tcW w:w="808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Klaus Masseverwalter</w:t>
            </w:r>
            <w:r>
              <w:rPr>
                <w:rFonts w:ascii="Arial" w:hAnsi="Arial" w:eastAsia="Arial" w:cs="Arial"/>
                <w:color w:val="000000"/>
                <w:position w:val="0"/>
                <w:sz w:val="20"/>
                <w:szCs w:val="20"/>
                <w:shd w:val="clear" w:color="auto" w:fill="FFFFFF"/>
              </w:rPr>
              <w:br/>
              <w:t xml:space="preserve">Bisambergerstraße 1</w:t>
            </w:r>
            <w:r>
              <w:rPr>
                <w:rFonts w:ascii="Arial" w:hAnsi="Arial" w:eastAsia="Arial" w:cs="Arial"/>
                <w:color w:val="000000"/>
                <w:position w:val="0"/>
                <w:sz w:val="20"/>
                <w:szCs w:val="20"/>
                <w:shd w:val="clear" w:color="auto" w:fill="FFFFFF"/>
              </w:rPr>
              <w:br/>
              <w:t xml:space="preserve">2100 Korneuburg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Wiedereröffnung des
schuldnerischen Unternehmens</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Beilage</w:t>
      </w:r>
      <w:r>
        <w:rPr>
          <w:rFonts w:ascii="Arial" w:hAnsi="Arial" w:eastAsia="Arial" w:cs="Arial"/>
          <w:color w:val="000000"/>
          <w:sz w:val="20"/>
          <w:szCs w:val="20"/>
        </w:rPr>
        <w:br/>
        <w:t xml:space="preserve">Je 1 GS samt Beilage direkt den Gläubigerschutzverbänden AKV, KSV,
ISA und Creditreform sowie dem Schuldnervertreter übermittelt.</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Mit Beschluss vom 15. September 20… wurde der Antrag auf
Schließung des schuldnerischen Unternehmens insolvenzgerichtlich
genehmigt und in weiterer Folge die Unternehmensschließung in der
Insolvenzdatei veröffentlicht.</w:t>
      </w:r>
    </w:p>
    <w:p>
      <w:pPr>
        <w:widowControl w:val="on"/>
        <w:pBdr/>
        <w:spacing w:before="140" w:after="240" w:line="288" w:lineRule="auto"/>
        <w:ind w:left="0" w:right="0"/>
        <w:jc w:val="left"/>
      </w:pPr>
      <w:r>
        <w:rPr>
          <w:rFonts w:ascii="Arial" w:hAnsi="Arial" w:eastAsia="Arial" w:cs="Arial"/>
          <w:color w:val="000000"/>
          <w:sz w:val="20"/>
          <w:szCs w:val="20"/>
        </w:rPr>
        <w:t xml:space="preserve">Mittlerweile wurde an den Geschäftsführer der Schuldnerin ein
neues Geschäftskonzept herangetragen, das nach den vorliegenden
Kalkulationsunterlagen eine gewinnbringende Unternehmensfortführung
und damit die Finanzierung eines Sanierungsplans ermöglichen sollte
(Prognoserechnung – Beilage ./1). So soll das schuldnerische
Unternehmen im Wesentlichen Planungsleistungen für
Elektroinstallationen erbringen und in weiterer Folge die
Ausführung überwachen. Hierfür sollte zunächst die Arbeitskraft des
Geschäftsführers und einer halbtags beschäftigten Sekretärin
ausreichen; Materialkosten müssten keine getragen werden, der
Geschäftsführer kann in seinem Privathaus ein Büro einrichten, das
er dem schuldnerischen Unternehmen zumindest für die Dauer des
Konkursverfahrens kostenlos zur Verfügung stellen kann.</w:t>
      </w:r>
    </w:p>
    <w:p>
      <w:pPr>
        <w:widowControl w:val="on"/>
        <w:pBdr/>
        <w:spacing w:before="140" w:after="240" w:line="288" w:lineRule="auto"/>
        <w:ind w:left="0" w:right="0"/>
        <w:jc w:val="left"/>
      </w:pPr>
      <w:r>
        <w:rPr>
          <w:rFonts w:ascii="Arial" w:hAnsi="Arial" w:eastAsia="Arial" w:cs="Arial"/>
          <w:color w:val="000000"/>
          <w:sz w:val="20"/>
          <w:szCs w:val="20"/>
        </w:rPr>
        <w:t xml:space="preserve">Die Schuldnerin hat bereits einen Auftrag lukriert; der
diesbezügliche Vertrag wurde unter der aufschiebenden Bedingung der
Wiedereröffnung des schuldnerischen Unternehmens geschlossen. Zur
Deckung der Anlaufkosten hat die Schuldner GmbH von dritter Seite
einen Betrag in Höhe von EUR 5.000,– erhalten.</w:t>
      </w:r>
    </w:p>
    <w:p>
      <w:pPr>
        <w:widowControl w:val="on"/>
        <w:pBdr/>
        <w:spacing w:before="140" w:after="240" w:line="288" w:lineRule="auto"/>
        <w:ind w:left="0" w:right="0"/>
        <w:jc w:val="left"/>
      </w:pPr>
      <w:r>
        <w:rPr>
          <w:rFonts w:ascii="Arial" w:hAnsi="Arial" w:eastAsia="Arial" w:cs="Arial"/>
          <w:color w:val="000000"/>
          <w:sz w:val="20"/>
          <w:szCs w:val="20"/>
        </w:rPr>
        <w:t xml:space="preserve">Insgesamt zeigt sich aus der Prognoserechnung (Beilage ./1),
dass gem § 115 Abs 3 IO eine Erhöhung des Ausfalls
der Gläubiger durch die Wiedereröffnung des schuldnerischen
Unternehmens vermeidbar ist, weil der Schuldnerin andernfalls keine
Einnahmequelle zur Verfügung steht.</w:t>
      </w:r>
    </w:p>
    <w:p>
      <w:pPr>
        <w:widowControl w:val="on"/>
        <w:pBdr/>
        <w:spacing w:before="140" w:after="240" w:line="288" w:lineRule="auto"/>
        <w:ind w:left="0" w:right="0"/>
        <w:jc w:val="left"/>
      </w:pPr>
      <w:r>
        <w:rPr>
          <w:rFonts w:ascii="Arial" w:hAnsi="Arial" w:eastAsia="Arial" w:cs="Arial"/>
          <w:color w:val="000000"/>
          <w:sz w:val="20"/>
          <w:szCs w:val="20"/>
        </w:rPr>
        <w:t xml:space="preserve">Der Masseverwalter stellt daher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Landesgericht Korneuburg als Insolvenzgericht möge die
Wiedereröffnung des schuldnerischen Unternehmens
gem § 115 Abs 3 IO bewilligen.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Klaus Masseverwalter</w:t>
      </w:r>
      <w:r>
        <w:rPr>
          <w:rFonts w:ascii="Arial" w:hAnsi="Arial" w:eastAsia="Arial" w:cs="Arial"/>
          <w:color w:val="000000"/>
          <w:sz w:val="20"/>
          <w:szCs w:val="20"/>
        </w:rPr>
        <w:br/>
        <w:t xml:space="preserve">als Masseverwalter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Gem § 115 Abs 1 IO darf das Insolvenzgericht die
Schließung des Unternehmens nur anordnen oder bewilligen, wenn
feststeht, dass sonst eine Erhöhung des Ausfalls, den die
Insolvenzgläubiger erleiden, nicht vermieden werden kann. Gemäß
Abs 3 darf das Insolvenzgericht die Wiedereröffnung des
Unternehmens nur dann anordnen oder bewilligen, wenn dadurch eine
Erhöhung des Ausfalls, den die Insolvenzgläubiger erleiden,
voraussichtlich vermeidbar ist. Hat das Insolvenzgericht die
Schließung aber bereits rechtskräftig angeordnet, so bedarf es für
eine Wiedereröffnung geänderter Verhältnisse (</w:t>
      </w:r>
      <w:r>
        <w:rPr>
          <w:rFonts w:ascii="Arial" w:hAnsi="Arial" w:eastAsia="Arial" w:cs="Arial"/>
          <w:i/>
          <w:iCs/>
          <w:color w:val="000000"/>
          <w:sz w:val="20"/>
          <w:szCs w:val="20"/>
        </w:rPr>
        <w:t xml:space="preserve">Mohr</w:t>
      </w:r>
      <w:r>
        <w:rPr>
          <w:rFonts w:ascii="Arial" w:hAnsi="Arial" w:eastAsia="Arial" w:cs="Arial"/>
          <w:color w:val="000000"/>
          <w:sz w:val="20"/>
          <w:szCs w:val="20"/>
        </w:rPr>
        <w:t xml:space="preserve">,
KO</w:t>
      </w:r>
      <w:r>
        <w:rPr>
          <w:rFonts w:ascii="Arial" w:hAnsi="Arial" w:eastAsia="Arial" w:cs="Arial"/>
          <w:color w:val="000000"/>
          <w:position w:val="3"/>
          <w:sz w:val="18"/>
          <w:szCs w:val="18"/>
          <w:vertAlign w:val="superscript"/>
        </w:rPr>
        <w:t xml:space="preserve">10</w:t>
      </w:r>
      <w:r>
        <w:rPr>
          <w:rFonts w:ascii="Arial" w:hAnsi="Arial" w:eastAsia="Arial" w:cs="Arial"/>
          <w:color w:val="000000"/>
          <w:sz w:val="20"/>
          <w:szCs w:val="20"/>
        </w:rPr>
        <w:t xml:space="preserve">, § 115 KO Rz 40).</w:t>
      </w:r>
    </w:p>
    <w:p>
      <w:pPr>
        <w:widowControl w:val="on"/>
        <w:pBdr/>
        <w:spacing w:before="140" w:after="240" w:line="288" w:lineRule="auto"/>
        <w:ind w:left="0" w:right="0"/>
        <w:jc w:val="left"/>
      </w:pPr>
      <w:r>
        <w:rPr>
          <w:rFonts w:ascii="Arial" w:hAnsi="Arial" w:eastAsia="Arial" w:cs="Arial"/>
          <w:color w:val="000000"/>
          <w:sz w:val="20"/>
          <w:szCs w:val="20"/>
        </w:rPr>
        <w:t xml:space="preserve">Im Sanierungsverfahren mit Eigenverwaltung bedarf der Schuldner
von der Verfahrenseröffnung an zur Schließung und Wiedereröffnung
seines Unternehmens der Bewilligung des Insolvenzgerichts, das vor
einer allfälligen Entscheidung eine Stellungnahme des
Sanierungsverwalters einholen wird.</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24277">
    <w:multiLevelType w:val="hybridMultilevel"/>
    <w:lvl w:ilvl="0" w:tplc="51317295">
      <w:start w:val="1"/>
      <w:numFmt w:val="decimal"/>
      <w:lvlText w:val="%1."/>
      <w:lvlJc w:val="left"/>
      <w:pPr>
        <w:ind w:left="720" w:hanging="360"/>
      </w:pPr>
    </w:lvl>
    <w:lvl w:ilvl="1" w:tplc="51317295" w:tentative="1">
      <w:start w:val="1"/>
      <w:numFmt w:val="lowerLetter"/>
      <w:lvlText w:val="%2."/>
      <w:lvlJc w:val="left"/>
      <w:pPr>
        <w:ind w:left="1440" w:hanging="360"/>
      </w:pPr>
    </w:lvl>
    <w:lvl w:ilvl="2" w:tplc="51317295" w:tentative="1">
      <w:start w:val="1"/>
      <w:numFmt w:val="lowerRoman"/>
      <w:lvlText w:val="%3."/>
      <w:lvlJc w:val="right"/>
      <w:pPr>
        <w:ind w:left="2160" w:hanging="180"/>
      </w:pPr>
    </w:lvl>
    <w:lvl w:ilvl="3" w:tplc="51317295" w:tentative="1">
      <w:start w:val="1"/>
      <w:numFmt w:val="decimal"/>
      <w:lvlText w:val="%4."/>
      <w:lvlJc w:val="left"/>
      <w:pPr>
        <w:ind w:left="2880" w:hanging="360"/>
      </w:pPr>
    </w:lvl>
    <w:lvl w:ilvl="4" w:tplc="51317295" w:tentative="1">
      <w:start w:val="1"/>
      <w:numFmt w:val="lowerLetter"/>
      <w:lvlText w:val="%5."/>
      <w:lvlJc w:val="left"/>
      <w:pPr>
        <w:ind w:left="3600" w:hanging="360"/>
      </w:pPr>
    </w:lvl>
    <w:lvl w:ilvl="5" w:tplc="51317295" w:tentative="1">
      <w:start w:val="1"/>
      <w:numFmt w:val="lowerRoman"/>
      <w:lvlText w:val="%6."/>
      <w:lvlJc w:val="right"/>
      <w:pPr>
        <w:ind w:left="4320" w:hanging="180"/>
      </w:pPr>
    </w:lvl>
    <w:lvl w:ilvl="6" w:tplc="51317295" w:tentative="1">
      <w:start w:val="1"/>
      <w:numFmt w:val="decimal"/>
      <w:lvlText w:val="%7."/>
      <w:lvlJc w:val="left"/>
      <w:pPr>
        <w:ind w:left="5040" w:hanging="360"/>
      </w:pPr>
    </w:lvl>
    <w:lvl w:ilvl="7" w:tplc="51317295" w:tentative="1">
      <w:start w:val="1"/>
      <w:numFmt w:val="lowerLetter"/>
      <w:lvlText w:val="%8."/>
      <w:lvlJc w:val="left"/>
      <w:pPr>
        <w:ind w:left="5760" w:hanging="360"/>
      </w:pPr>
    </w:lvl>
    <w:lvl w:ilvl="8" w:tplc="51317295" w:tentative="1">
      <w:start w:val="1"/>
      <w:numFmt w:val="lowerRoman"/>
      <w:lvlText w:val="%9."/>
      <w:lvlJc w:val="right"/>
      <w:pPr>
        <w:ind w:left="6480" w:hanging="180"/>
      </w:pPr>
    </w:lvl>
  </w:abstractNum>
  <w:abstractNum w:abstractNumId="98924276">
    <w:multiLevelType w:val="hybridMultilevel"/>
    <w:lvl w:ilvl="0" w:tplc="75843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24276">
    <w:abstractNumId w:val="98924276"/>
  </w:num>
  <w:num w:numId="98924277">
    <w:abstractNumId w:val="989242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04161924" Type="http://schemas.openxmlformats.org/officeDocument/2006/relationships/numbering" Target="numbering.xml"/><Relationship Id="rId33154508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