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84782029" w:name="document"/>
    <w:bookmarkEnd w:id="84782029"/>
    <w:p/>
    <w:p>
      <w:pPr>
        <w:widowControl w:val="on"/>
        <w:pBdr/>
        <w:spacing w:before="0" w:after="280" w:line="240" w:lineRule="auto"/>
        <w:ind w:left="0" w:right="0"/>
        <w:jc w:val="left"/>
      </w:pPr>
      <w:r>
        <w:rPr>
          <w:rFonts w:ascii="Arial" w:hAnsi="Arial" w:eastAsia="Arial" w:cs="Arial"/>
          <w:color w:val="363A40"/>
          <w:sz w:val="24"/>
          <w:szCs w:val="24"/>
        </w:rPr>
        <w:t xml:space="preserve">Dokument-ID: 867900 | Barbara Pogacar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Außergerichtliche Anfechung von Zahlungen an das Finanzamt</w:t>
      </w:r>
    </w:p>
    <w:p>
      <w:pPr>
        <w:widowControl w:val="on"/>
        <w:pBdr/>
        <w:spacing w:before="140" w:after="240" w:line="288" w:lineRule="auto"/>
        <w:ind w:left="0" w:right="0"/>
        <w:jc w:val="left"/>
      </w:pPr>
      <w:r>
        <w:rPr>
          <w:rFonts w:ascii="Arial" w:hAnsi="Arial" w:eastAsia="Arial" w:cs="Arial"/>
          <w:color w:val="000000"/>
          <w:sz w:val="20"/>
          <w:szCs w:val="20"/>
        </w:rPr>
        <w:t xml:space="preserve">Dr. Klaus Masseverwalter</w:t>
      </w:r>
      <w:r>
        <w:rPr>
          <w:rFonts w:ascii="Arial" w:hAnsi="Arial" w:eastAsia="Arial" w:cs="Arial"/>
          <w:color w:val="000000"/>
          <w:sz w:val="20"/>
          <w:szCs w:val="20"/>
        </w:rPr>
        <w:br/>
        <w:t xml:space="preserve">Hauptplatz 9–13</w:t>
      </w:r>
      <w:r>
        <w:rPr>
          <w:rFonts w:ascii="Arial" w:hAnsi="Arial" w:eastAsia="Arial" w:cs="Arial"/>
          <w:color w:val="000000"/>
          <w:sz w:val="20"/>
          <w:szCs w:val="20"/>
        </w:rPr>
        <w:br/>
        <w:t xml:space="preserve">2500 Baden</w:t>
      </w:r>
    </w:p>
    <w:p>
      <w:pPr>
        <w:widowControl w:val="on"/>
        <w:pBdr/>
        <w:spacing w:before="140" w:after="240" w:line="288" w:lineRule="auto"/>
        <w:ind w:left="0" w:right="0"/>
        <w:jc w:val="left"/>
      </w:pPr>
      <w:r>
        <w:rPr>
          <w:rFonts w:ascii="Arial" w:hAnsi="Arial" w:eastAsia="Arial" w:cs="Arial"/>
          <w:b/>
          <w:bCs/>
          <w:color w:val="000000"/>
          <w:sz w:val="20"/>
          <w:szCs w:val="20"/>
        </w:rPr>
        <w:t xml:space="preserve">Finanzamt Baden Mödling</w:t>
      </w:r>
      <w:r>
        <w:rPr>
          <w:rFonts w:ascii="Arial" w:hAnsi="Arial" w:eastAsia="Arial" w:cs="Arial"/>
          <w:color w:val="000000"/>
          <w:sz w:val="20"/>
          <w:szCs w:val="20"/>
        </w:rPr>
        <w:br/>
        <w:t xml:space="preserve">Josefsplatz 13</w:t>
      </w:r>
      <w:r>
        <w:rPr>
          <w:rFonts w:ascii="Arial" w:hAnsi="Arial" w:eastAsia="Arial" w:cs="Arial"/>
          <w:color w:val="000000"/>
          <w:sz w:val="20"/>
          <w:szCs w:val="20"/>
        </w:rPr>
        <w:br/>
        <w:t xml:space="preserve">2500 Baden</w:t>
      </w:r>
    </w:p>
    <w:p>
      <w:pPr>
        <w:widowControl w:val="on"/>
        <w:pBdr/>
        <w:spacing w:before="140" w:after="240" w:line="288" w:lineRule="auto"/>
        <w:ind w:left="0" w:right="0"/>
        <w:jc w:val="right"/>
      </w:pPr>
      <w:r>
        <w:rPr>
          <w:rFonts w:ascii="Arial" w:hAnsi="Arial" w:eastAsia="Arial" w:cs="Arial"/>
          <w:color w:val="000000"/>
          <w:sz w:val="20"/>
          <w:szCs w:val="20"/>
        </w:rPr>
        <w:t xml:space="preserve">…, am …</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Konkursverfahren Schuldner GmbH/Anfechtung</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ich komme zurück auf mein Schreiben vom …, mit dem ich Zahlungen
der Schuldnerin in Höhe von insgesamt EUR 34.094,36
angefochten habe. Mit Schreiben vom … haben Sie die von mir
erhobenen Anfechtungsansprüche mit der Begründung zurückgewiesen,
dass innerhalb der Halbjahresfrist keine Zahlungen geleistet worden
seien, und die Zahlung abgelehnt.</w:t>
      </w:r>
    </w:p>
    <w:p>
      <w:pPr>
        <w:widowControl w:val="on"/>
        <w:pBdr/>
        <w:spacing w:before="140" w:after="240" w:line="288" w:lineRule="auto"/>
        <w:ind w:left="0" w:right="0"/>
        <w:jc w:val="left"/>
      </w:pPr>
      <w:r>
        <w:rPr>
          <w:rFonts w:ascii="Arial" w:hAnsi="Arial" w:eastAsia="Arial" w:cs="Arial"/>
          <w:color w:val="000000"/>
          <w:sz w:val="20"/>
          <w:szCs w:val="20"/>
        </w:rPr>
        <w:t xml:space="preserve">Gem § 30 Abs 1 Z 3 IO sind nach dem Eintritt der
Zahlungsunfähigkeit vorgenommene Befriedigungen eines Gläubigers
anfechtbar, wenn diesem die Absicht des Schuldners, ihn vor den
anderen Gläubigern zu begünstigen, bekannt war oder bekannt sein
musste. Die Anfechtung derartiger Befriedigungen ist – wie Ihnen
sicherlich bekannt ist – für Zahlungen bis zu einem Jahr vor
Eröffnung des Insolvenzverfahrens zulässig.</w:t>
      </w:r>
    </w:p>
    <w:p>
      <w:pPr>
        <w:widowControl w:val="on"/>
        <w:pBdr/>
        <w:spacing w:before="140" w:after="240" w:line="288" w:lineRule="auto"/>
        <w:ind w:left="0" w:right="0"/>
        <w:jc w:val="left"/>
      </w:pPr>
      <w:r>
        <w:rPr>
          <w:rFonts w:ascii="Arial" w:hAnsi="Arial" w:eastAsia="Arial" w:cs="Arial"/>
          <w:color w:val="000000"/>
          <w:sz w:val="20"/>
          <w:szCs w:val="20"/>
        </w:rPr>
        <w:t xml:space="preserve">Bereits 20xx waren zahlreiche Exekutionsverfahren gegen die
Schuldnerin anhängig. Auch Sie haben seit Mitte 20xx Exekution
gegen die Schuldnerin geführt und es musste Ihnen die Vielzahl der
anderen, bereits anhängigen Exekutionsverfahren bekannt sein. Nach
der Rechtsprechung des OGH kann schon dann eine Zahlungsunfähigkeit
des späteren Schuldners angenommen werden, wenn der Schuldner mit
mehreren Exekutionen zur Befriedigung verfolgt wird (OGH 4 Ob
93/06i). Es ist daher von einer Zahlungsunfähigkeit der Schuldnerin
zumindest innerhalb der Jahresfrist auszugehen.</w:t>
      </w:r>
    </w:p>
    <w:p>
      <w:pPr>
        <w:widowControl w:val="on"/>
        <w:pBdr/>
        <w:spacing w:before="140" w:after="240" w:line="288" w:lineRule="auto"/>
        <w:ind w:left="0" w:right="0"/>
        <w:jc w:val="left"/>
      </w:pPr>
      <w:r>
        <w:rPr>
          <w:rFonts w:ascii="Arial" w:hAnsi="Arial" w:eastAsia="Arial" w:cs="Arial"/>
          <w:color w:val="000000"/>
          <w:sz w:val="20"/>
          <w:szCs w:val="20"/>
        </w:rPr>
        <w:t xml:space="preserve">Benachteiligung liegt der Rechtsprechung folgend dann vor, wenn
ohne die Rechtshandlung bzw bei ihrer Rückgängigmachung für die
Gläubiger eine bessere Lage geschaffen wäre.
Benachteiligungsabsicht ist dann gegeben, wenn der Schuldner eine
Rechtshandlung im Bewusstsein vornimmt, dass er durch diese die
Befriedigung seiner übrigen Gläubiger zwar nicht ganz oder
teilweise unmöglich macht, aber doch verzögert oder erschwert (OGH
10.04.1991, 1 Ob 541/91).</w:t>
      </w:r>
    </w:p>
    <w:p>
      <w:pPr>
        <w:widowControl w:val="on"/>
        <w:pBdr/>
        <w:spacing w:before="140" w:after="240" w:line="288" w:lineRule="auto"/>
        <w:ind w:left="0" w:right="0"/>
        <w:jc w:val="left"/>
      </w:pPr>
      <w:r>
        <w:rPr>
          <w:rFonts w:ascii="Arial" w:hAnsi="Arial" w:eastAsia="Arial" w:cs="Arial"/>
          <w:color w:val="000000"/>
          <w:sz w:val="20"/>
          <w:szCs w:val="20"/>
        </w:rPr>
        <w:t xml:space="preserve">Absicht ist demnach im technischen Sinn von Vorsatz zu
verstehen, sodass die Rechtswidrigkeit des Verhaltens gegenüber den
Gläubigern und Unrechtsbewusstsein des Schuldners erforderlich sind
(OGH 24.06.2003, 3 Ob 68/02z). Der Beweis ist in diesem
Zusammenhang erbracht, wenn Tatsachen bewiesen werden, aus denen
diese Absicht des Schuldners zu schließen ist (SZ 58/205).</w:t>
      </w:r>
    </w:p>
    <w:p>
      <w:pPr>
        <w:widowControl w:val="on"/>
        <w:pBdr/>
        <w:spacing w:before="140" w:after="240" w:line="288" w:lineRule="auto"/>
        <w:ind w:left="0" w:right="0"/>
        <w:jc w:val="left"/>
      </w:pPr>
      <w:r>
        <w:rPr>
          <w:rFonts w:ascii="Arial" w:hAnsi="Arial" w:eastAsia="Arial" w:cs="Arial"/>
          <w:color w:val="000000"/>
          <w:sz w:val="20"/>
          <w:szCs w:val="20"/>
        </w:rPr>
        <w:t xml:space="preserve">Nach der Rechtsprechung ist Begünstigungsabsicht die Absicht,
seinen Gläubiger mit der Deckung vor den anderen Gläubigern zu
bevorzugen. Eine Begünstigung eines Gläubigers liegt vor, wenn dem
Schuldner bewusst ist, dass er zahlungsunfähig ist und er trotzdem
die Schuld erfüllt oder eine Sicherstellung der Forderung
ermöglicht (OGH 08.01.1969, 5 Ob 338/68). Die
Benachteiligungsabsicht des Schuldners schließt dabei die
Begünstigungsabsicht des Schuldners in sich ein (</w:t>
      </w:r>
      <w:r>
        <w:rPr>
          <w:rFonts w:ascii="Arial" w:hAnsi="Arial" w:eastAsia="Arial" w:cs="Arial"/>
          <w:i/>
          <w:iCs/>
          <w:color w:val="000000"/>
          <w:sz w:val="20"/>
          <w:szCs w:val="20"/>
        </w:rPr>
        <w:t xml:space="preserve">König</w:t>
      </w:r>
      <w:r>
        <w:rPr>
          <w:rFonts w:ascii="Arial" w:hAnsi="Arial" w:eastAsia="Arial" w:cs="Arial"/>
          <w:color w:val="000000"/>
          <w:sz w:val="20"/>
          <w:szCs w:val="20"/>
        </w:rPr>
        <w:t xml:space="preserve">,
Anfechtung</w:t>
      </w:r>
      <w:r>
        <w:rPr>
          <w:rFonts w:ascii="Arial" w:hAnsi="Arial" w:eastAsia="Arial" w:cs="Arial"/>
          <w:color w:val="000000"/>
          <w:position w:val="3"/>
          <w:sz w:val="18"/>
          <w:szCs w:val="18"/>
          <w:vertAlign w:val="superscript"/>
        </w:rPr>
        <w:t xml:space="preserve">4</w:t>
      </w:r>
      <w:r>
        <w:rPr>
          <w:rFonts w:ascii="Arial" w:hAnsi="Arial" w:eastAsia="Arial" w:cs="Arial"/>
          <w:color w:val="000000"/>
          <w:sz w:val="20"/>
          <w:szCs w:val="20"/>
        </w:rPr>
        <w:t xml:space="preserve">, Rz 10/97).</w:t>
      </w:r>
    </w:p>
    <w:p>
      <w:pPr>
        <w:widowControl w:val="on"/>
        <w:pBdr/>
        <w:spacing w:before="140" w:after="240" w:line="288" w:lineRule="auto"/>
        <w:ind w:left="0" w:right="0"/>
        <w:jc w:val="left"/>
      </w:pPr>
      <w:r>
        <w:rPr>
          <w:rFonts w:ascii="Arial" w:hAnsi="Arial" w:eastAsia="Arial" w:cs="Arial"/>
          <w:color w:val="000000"/>
          <w:sz w:val="20"/>
          <w:szCs w:val="20"/>
        </w:rPr>
        <w:t xml:space="preserve">Die Schuldnerin hat so nach den gegebenen Umständen in
Begünstigungsabsicht gehandelt und Zahlungen an Sie geleistet, die
dadurch den übrigen Gläubigern nicht zur Verfügung gestanden
haben.</w:t>
      </w:r>
    </w:p>
    <w:p>
      <w:pPr>
        <w:widowControl w:val="on"/>
        <w:pBdr/>
        <w:spacing w:before="140" w:after="240" w:line="288" w:lineRule="auto"/>
        <w:ind w:left="0" w:right="0"/>
        <w:jc w:val="left"/>
      </w:pPr>
      <w:r>
        <w:rPr>
          <w:rFonts w:ascii="Arial" w:hAnsi="Arial" w:eastAsia="Arial" w:cs="Arial"/>
          <w:color w:val="000000"/>
          <w:sz w:val="20"/>
          <w:szCs w:val="20"/>
        </w:rPr>
        <w:t xml:space="preserve">Sie haben am … wegen eines Rückstandes von insgesamt
EUR 175.435,12 aus bis zum Jahr … zurück reichenden Steuern
und Abgaben den Antrag auf Eröffnung des Konkursverfahrens über das
Vermögen der Schuldner GmbH gestellt. Sie haben bereits am … auf
der Übernahme einer persönlichen Haftung durch den Geschäftsführer
der Schuldner GmbH bestanden. Sie hatten sohin offensichtlich
bereits damals Bedenken hinsichtlich der Einbringlichmachung der
Steuer- und Abgabenrückstände. Trotz dieser Haftungsübernahme haben
sich die Abgabenrückstände weiter erhöht, sodass Sie letztlich
einen Exekutionsantrag gestellt und im Zuge des
Exekutionsverfahrens eine Befriedigung in Höhe des eingangs
genannten Betrages erhalten haben. Aufgrund der geschilderten
Umstände ist Ihnen zumindest eine fahrlässige Unkenntnis von der
Zahlungsunfähigkeit der Schuldner GmbH und nunmehrigen Schuldnerin
vorzuwerfen.</w:t>
      </w:r>
    </w:p>
    <w:p>
      <w:pPr>
        <w:widowControl w:val="on"/>
        <w:pBdr/>
        <w:spacing w:before="140" w:after="240" w:line="288" w:lineRule="auto"/>
        <w:ind w:left="0" w:right="0"/>
        <w:jc w:val="left"/>
      </w:pPr>
      <w:r>
        <w:rPr>
          <w:rFonts w:ascii="Arial" w:hAnsi="Arial" w:eastAsia="Arial" w:cs="Arial"/>
          <w:color w:val="000000"/>
          <w:sz w:val="20"/>
          <w:szCs w:val="20"/>
        </w:rPr>
        <w:t xml:space="preserve">Ihre Kenntnis oder zumindest fahrlässige Unkenntnis von der
Zahlungsunfähigkeit der Schuldnerin stellt ein wichtiges Indiz für
die Kenntnis von der Benachteiligungsabsicht und damit auch der
Begünstigungsabsicht dar und es ist daher davon auszugehen, dass
Sie Kenntnis oder zumindest fahrlässig keine Kenntnis von der
Begünstigungsabsicht der Schuldnerin hatten. Ich halte daher die
von mir geltend gemachten Anfechtungsansprüche in voller Höhe
aufrecht.</w:t>
      </w:r>
    </w:p>
    <w:p>
      <w:pPr>
        <w:widowControl w:val="on"/>
        <w:pBdr/>
        <w:spacing w:before="140" w:after="240" w:line="288" w:lineRule="auto"/>
        <w:ind w:left="0" w:right="0"/>
        <w:jc w:val="left"/>
      </w:pPr>
      <w:r>
        <w:rPr>
          <w:rFonts w:ascii="Arial" w:hAnsi="Arial" w:eastAsia="Arial" w:cs="Arial"/>
          <w:color w:val="000000"/>
          <w:sz w:val="20"/>
          <w:szCs w:val="20"/>
        </w:rPr>
        <w:t xml:space="preserve">Ich fordere Sie daher nochmals auf, den Betrag von
EUR 34.094,36 bis längstens … auf das von mir eingerichtete
Masseanderkonto bei der XY Bank AG (BLZ 12345) Kontonummer 1234556
lautend auf „Dr. Klaus Masseverwalter, Konkursverfahren Schuldner
GmbH, Anfechtungsansprüche“ zu überweisen. Andernfalls werde ich
ein Gutachten über den Zeitpunkt des Eintritts der
Zahlungsunfähigkeit einholen und abhängig davon – gegebenenfalls
auch innerhalb der Zwei-Jahres-Frist – die an Sie geleisteten
Zahlungen anfechten.</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Dr. Klaus Masseverwalter</w:t>
      </w:r>
      <w:r>
        <w:rPr>
          <w:rFonts w:ascii="Arial" w:hAnsi="Arial" w:eastAsia="Arial" w:cs="Arial"/>
          <w:color w:val="000000"/>
          <w:sz w:val="20"/>
          <w:szCs w:val="20"/>
        </w:rPr>
        <w:br/>
        <w:t xml:space="preserve">als Masseverwalter</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Der Masseverwalter hat die Anfechtungsansprüche
gem § 43 Abs 2 IO bei sonstigem Erlöschen des
Anspruchs binnen eines Jahres ab Verfahrenseröffnung mit Klage
geltend zu machen. Die Jahresfrist verlängert sich, wenn
Insolvenzverwalter und Anfechtungsgegner dies vereinbaren. Die
Verlängerung darf nur einmal vereinbart werden und darf drei Monate
nicht übersteigen. Die Frist ist ab Annahme des Sanierungsplans bis
zum Eintritt der Rechtskraft des Beschlusses, mit dem die
Bestätigung versagt wird, gehemmt. Der Masseverwalter sollte die
Anfechtungsansprüche zunächst außergerichtlich geltend machen, um
die Kostenfolgen zu vermeiden, falls der Anfechtungsgegner den
Anfechtungsanspruch nach Klagseinbringung unverzüglich
anerkennt.</w:t>
      </w:r>
    </w:p>
    <w:p>
      <w:pPr>
        <w:widowControl w:val="on"/>
        <w:pBdr/>
        <w:spacing w:before="140" w:after="240" w:line="288" w:lineRule="auto"/>
        <w:ind w:left="0" w:right="0"/>
        <w:jc w:val="left"/>
      </w:pPr>
      <w:r>
        <w:rPr>
          <w:rFonts w:ascii="Arial" w:hAnsi="Arial" w:eastAsia="Arial" w:cs="Arial"/>
          <w:color w:val="000000"/>
          <w:sz w:val="20"/>
          <w:szCs w:val="20"/>
        </w:rPr>
        <w:t xml:space="preserve">Gem § 30 Abs 1 Z 3 IO sind nach Eintritt der
Zahlungsunfähigkeit und/oder Überschuldung oder nach dem Antrag auf
Eröffnung eines Insolvenzverfahrens oder in den letzten sechzig
Tagen davor vorgenommene Sicherstellungen oder Befriedigungen eines
Gläubigers anfechtbar, wenn sie zugunsten eines nicht nahen
Angehörigen vorgenommen worden sind und dem anderen Teil die
Absicht des Schuldners bekannt war oder bekannt sein musste, sie
vor den anderen Gläubigern zu begünstigen. Die Anfechtung scheidet
gem § 30 Abs 2 IO aus, wenn die Begünstigung oder
Sicherstellung früher als ein Jahr vor der Eröffnung des
Insolvenzverfahrens erfolgt ist.</w:t>
      </w:r>
    </w:p>
    <w:p>
      <w:pPr>
        <w:widowControl w:val="on"/>
        <w:pBdr/>
        <w:spacing w:before="140" w:after="240" w:line="288" w:lineRule="auto"/>
        <w:ind w:left="0" w:right="0"/>
        <w:jc w:val="left"/>
      </w:pPr>
      <w:r>
        <w:rPr>
          <w:rFonts w:ascii="Arial" w:hAnsi="Arial" w:eastAsia="Arial" w:cs="Arial"/>
          <w:color w:val="000000"/>
          <w:sz w:val="20"/>
          <w:szCs w:val="20"/>
        </w:rPr>
        <w:t xml:space="preserve">Der Masseverwalter hat zu beweisen, dass nach Eintritt der
Zahlungsunfähigkeit/Überschuldung oder dem Antrag auf Eröffnung
eines Insolvenzverfahrens oder 60 Tage davor, nicht aber länger als
ein Jahr vor Eröffnung des Insolvenzverfahrens eine Befriedigung
oder Sicherstellung erfolgte, die Begünstigungsabsicht des
Schuldners und dass dem anderen Teil die Begünstigungsabsicht des
Schuldners bekannt war oder zumindest bekannt sein musste, sowie
die Befriedigungstauglichkeit.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905709">
    <w:multiLevelType w:val="hybridMultilevel"/>
    <w:lvl w:ilvl="0" w:tplc="58773611">
      <w:start w:val="1"/>
      <w:numFmt w:val="decimal"/>
      <w:lvlText w:val="%1."/>
      <w:lvlJc w:val="left"/>
      <w:pPr>
        <w:ind w:left="720" w:hanging="360"/>
      </w:pPr>
    </w:lvl>
    <w:lvl w:ilvl="1" w:tplc="58773611" w:tentative="1">
      <w:start w:val="1"/>
      <w:numFmt w:val="lowerLetter"/>
      <w:lvlText w:val="%2."/>
      <w:lvlJc w:val="left"/>
      <w:pPr>
        <w:ind w:left="1440" w:hanging="360"/>
      </w:pPr>
    </w:lvl>
    <w:lvl w:ilvl="2" w:tplc="58773611" w:tentative="1">
      <w:start w:val="1"/>
      <w:numFmt w:val="lowerRoman"/>
      <w:lvlText w:val="%3."/>
      <w:lvlJc w:val="right"/>
      <w:pPr>
        <w:ind w:left="2160" w:hanging="180"/>
      </w:pPr>
    </w:lvl>
    <w:lvl w:ilvl="3" w:tplc="58773611" w:tentative="1">
      <w:start w:val="1"/>
      <w:numFmt w:val="decimal"/>
      <w:lvlText w:val="%4."/>
      <w:lvlJc w:val="left"/>
      <w:pPr>
        <w:ind w:left="2880" w:hanging="360"/>
      </w:pPr>
    </w:lvl>
    <w:lvl w:ilvl="4" w:tplc="58773611" w:tentative="1">
      <w:start w:val="1"/>
      <w:numFmt w:val="lowerLetter"/>
      <w:lvlText w:val="%5."/>
      <w:lvlJc w:val="left"/>
      <w:pPr>
        <w:ind w:left="3600" w:hanging="360"/>
      </w:pPr>
    </w:lvl>
    <w:lvl w:ilvl="5" w:tplc="58773611" w:tentative="1">
      <w:start w:val="1"/>
      <w:numFmt w:val="lowerRoman"/>
      <w:lvlText w:val="%6."/>
      <w:lvlJc w:val="right"/>
      <w:pPr>
        <w:ind w:left="4320" w:hanging="180"/>
      </w:pPr>
    </w:lvl>
    <w:lvl w:ilvl="6" w:tplc="58773611" w:tentative="1">
      <w:start w:val="1"/>
      <w:numFmt w:val="decimal"/>
      <w:lvlText w:val="%7."/>
      <w:lvlJc w:val="left"/>
      <w:pPr>
        <w:ind w:left="5040" w:hanging="360"/>
      </w:pPr>
    </w:lvl>
    <w:lvl w:ilvl="7" w:tplc="58773611" w:tentative="1">
      <w:start w:val="1"/>
      <w:numFmt w:val="lowerLetter"/>
      <w:lvlText w:val="%8."/>
      <w:lvlJc w:val="left"/>
      <w:pPr>
        <w:ind w:left="5760" w:hanging="360"/>
      </w:pPr>
    </w:lvl>
    <w:lvl w:ilvl="8" w:tplc="58773611" w:tentative="1">
      <w:start w:val="1"/>
      <w:numFmt w:val="lowerRoman"/>
      <w:lvlText w:val="%9."/>
      <w:lvlJc w:val="right"/>
      <w:pPr>
        <w:ind w:left="6480" w:hanging="180"/>
      </w:pPr>
    </w:lvl>
  </w:abstractNum>
  <w:abstractNum w:abstractNumId="55905708">
    <w:multiLevelType w:val="hybridMultilevel"/>
    <w:lvl w:ilvl="0" w:tplc="851198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5905708">
    <w:abstractNumId w:val="55905708"/>
  </w:num>
  <w:num w:numId="55905709">
    <w:abstractNumId w:val="559057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62445367" Type="http://schemas.openxmlformats.org/officeDocument/2006/relationships/numbering" Target="numbering.xml"/><Relationship Id="rId775118403"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