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1600108" w:name="document"/>
    <w:bookmarkEnd w:id="31600108"/>
    <w:p/>
    <w:p>
      <w:pPr>
        <w:widowControl w:val="on"/>
        <w:pBdr/>
        <w:spacing w:before="0" w:after="280" w:line="240" w:lineRule="auto"/>
        <w:ind w:left="0" w:right="0"/>
        <w:jc w:val="left"/>
      </w:pPr>
      <w:r>
        <w:rPr>
          <w:rFonts w:ascii="Arial" w:hAnsi="Arial" w:eastAsia="Arial" w:cs="Arial"/>
          <w:color w:val="363A40"/>
          <w:sz w:val="24"/>
          <w:szCs w:val="24"/>
        </w:rPr>
        <w:t xml:space="preserve">Dokument-ID: 816075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Aufschiebung der Räumungsexekution</w:t>
      </w:r>
    </w:p>
    <w:p>
      <w:pPr>
        <w:widowControl w:val="on"/>
        <w:pBdr/>
        <w:spacing w:before="140" w:after="240" w:line="288" w:lineRule="auto"/>
        <w:ind w:left="0" w:right="0"/>
        <w:jc w:val="left"/>
      </w:pPr>
      <w:r>
        <w:rPr>
          <w:rFonts w:ascii="Arial" w:hAnsi="Arial" w:eastAsia="Arial" w:cs="Arial"/>
          <w:color w:val="000000"/>
          <w:sz w:val="20"/>
          <w:szCs w:val="20"/>
        </w:rPr>
        <w:t xml:space="preserve">Dr. Klaus Rechtsanwalt</w:t>
      </w:r>
      <w:r>
        <w:rPr>
          <w:rFonts w:ascii="Arial" w:hAnsi="Arial" w:eastAsia="Arial" w:cs="Arial"/>
          <w:color w:val="000000"/>
          <w:sz w:val="20"/>
          <w:szCs w:val="20"/>
        </w:rPr>
        <w:br/>
        <w:t xml:space="preserve">Bockgasse 12</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Korneuburg</w:t>
      </w:r>
      <w:r>
        <w:rPr>
          <w:rFonts w:ascii="Arial" w:hAnsi="Arial" w:eastAsia="Arial" w:cs="Arial"/>
          <w:color w:val="000000"/>
          <w:sz w:val="20"/>
          <w:szCs w:val="20"/>
        </w:rPr>
        <w:br/>
        <w:t xml:space="preserve">Landesgerichtsplatz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p>
      <w:pPr>
        <w:widowControl w:val="on"/>
        <w:pBdr/>
        <w:spacing w:before="140" w:after="240" w:line="288" w:lineRule="auto"/>
        <w:ind w:left="0" w:right="0"/>
        <w:jc w:val="left"/>
      </w:pPr>
      <w:r>
        <w:rPr>
          <w:rFonts w:ascii="Arial" w:hAnsi="Arial" w:eastAsia="Arial" w:cs="Arial"/>
          <w:b/>
          <w:bCs/>
          <w:color w:val="000000"/>
          <w:sz w:val="20"/>
          <w:szCs w:val="20"/>
        </w:rPr>
        <w:t xml:space="preserve">GZ: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Betreibende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Vermieter GmbH</w:t>
            </w:r>
            <w:r>
              <w:rPr>
                <w:rFonts w:ascii="Arial" w:hAnsi="Arial" w:eastAsia="Arial" w:cs="Arial"/>
                <w:color w:val="000000"/>
                <w:position w:val="0"/>
                <w:sz w:val="20"/>
                <w:szCs w:val="20"/>
                <w:shd w:val="clear" w:color="auto" w:fill="FFFFFF"/>
              </w:rPr>
              <w:br/>
              <w:t xml:space="preserve">Krollstraße 15</w:t>
            </w:r>
            <w:r>
              <w:rPr>
                <w:rFonts w:ascii="Arial" w:hAnsi="Arial" w:eastAsia="Arial" w:cs="Arial"/>
                <w:color w:val="000000"/>
                <w:position w:val="0"/>
                <w:sz w:val="20"/>
                <w:szCs w:val="20"/>
                <w:shd w:val="clear" w:color="auto" w:fill="FFFFFF"/>
              </w:rPr>
              <w:br/>
              <w:t xml:space="preserve">1150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Ludwig Advokat</w:t>
            </w:r>
            <w:r>
              <w:rPr>
                <w:rFonts w:ascii="Arial" w:hAnsi="Arial" w:eastAsia="Arial" w:cs="Arial"/>
                <w:color w:val="000000"/>
                <w:position w:val="0"/>
                <w:sz w:val="20"/>
                <w:szCs w:val="20"/>
                <w:shd w:val="clear" w:color="auto" w:fill="FFFFFF"/>
              </w:rPr>
              <w:br/>
              <w:t xml:space="preserve">Bahngasse 12</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Verpflichtete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Max Schuldner</w:t>
            </w:r>
            <w:r>
              <w:rPr>
                <w:rFonts w:ascii="Arial" w:hAnsi="Arial" w:eastAsia="Arial" w:cs="Arial"/>
                <w:color w:val="000000"/>
                <w:position w:val="0"/>
                <w:sz w:val="20"/>
                <w:szCs w:val="20"/>
                <w:shd w:val="clear" w:color="auto" w:fill="FFFFFF"/>
              </w:rPr>
              <w:br/>
              <w:t xml:space="preserve">Bahnstraße 35</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Klaus Rechtsanwalt</w:t>
            </w:r>
            <w:r>
              <w:rPr>
                <w:rFonts w:ascii="Arial" w:hAnsi="Arial" w:eastAsia="Arial" w:cs="Arial"/>
                <w:color w:val="000000"/>
                <w:position w:val="0"/>
                <w:sz w:val="20"/>
                <w:szCs w:val="20"/>
                <w:shd w:val="clear" w:color="auto" w:fill="FFFFFF"/>
              </w:rPr>
              <w:br/>
              <w:t xml:space="preserve">Bockgasse 12</w:t>
            </w:r>
            <w:r>
              <w:rPr>
                <w:rFonts w:ascii="Arial" w:hAnsi="Arial" w:eastAsia="Arial" w:cs="Arial"/>
                <w:color w:val="000000"/>
                <w:position w:val="0"/>
                <w:sz w:val="20"/>
                <w:szCs w:val="20"/>
                <w:shd w:val="clear" w:color="auto" w:fill="FFFFFF"/>
              </w:rPr>
              <w:br/>
              <w:t xml:space="preserve">1010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Räumung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Aufschiebung der
Räumungsexekution</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3 Beilagen</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Gem § 35 Abs 1 MRG ist auf Antrag eines Mieters, dem
rechtskräftig gekündigt worden und im Fall der zwangsweisen Räumung
der Obdachlosigkeit ausgesetzt ist, auf seinen Antrag hin die
Räumungsexekution gem § 42 EO aufzuschieben, wenn die
Aufschiebung dem betreibenden Vermieter nach der Lage der
Verhältnisse zugemutet werden kann.</w:t>
      </w:r>
    </w:p>
    <w:p>
      <w:pPr>
        <w:widowControl w:val="on"/>
        <w:pBdr/>
        <w:spacing w:before="140" w:after="240" w:line="288" w:lineRule="auto"/>
        <w:ind w:left="0" w:right="0"/>
        <w:jc w:val="left"/>
      </w:pPr>
      <w:r>
        <w:rPr>
          <w:rFonts w:ascii="Arial" w:hAnsi="Arial" w:eastAsia="Arial" w:cs="Arial"/>
          <w:color w:val="000000"/>
          <w:sz w:val="20"/>
          <w:szCs w:val="20"/>
        </w:rPr>
        <w:t xml:space="preserve">Die verpflichtete Partei legt als Beilage ./1 ein Konvolut an
Zahlungsbelegen vor, aus denen ersichtlich ist, dass sie die
Mietzinsrückstände, die zur Kündigung des Mietvertrages geführt
haben und das seit der Kündigung angefallene Benützungsentgelt für
die verfahrensgegenständliche Wohnung bezahlt hat. Aufgrund einer
längeren, schweren Krankheit, zu deren Bescheinigung die
verpflichtete Partei als Beilage ./2 die ärztliche
Krankenbestätigung des Facharztes Dr. Christoph Arzt vorlegt, war
es der verpflicheten Partei nicht möglich, innerhalb der im
Räumungstitel festgelegten Leistungsfrist eine neue Wohnung zu
finden und wäre die verpflichtete Partei daher bei einem Vollzug
der Räumung zum gegenwärtigen Zeitpunkt von der Obdachlosigkeit
bedroht.</w:t>
      </w:r>
    </w:p>
    <w:p>
      <w:pPr>
        <w:widowControl w:val="on"/>
        <w:pBdr/>
        <w:spacing w:before="140" w:after="240" w:line="288" w:lineRule="auto"/>
        <w:ind w:left="0" w:right="0"/>
        <w:jc w:val="left"/>
      </w:pPr>
      <w:r>
        <w:rPr>
          <w:rFonts w:ascii="Arial" w:hAnsi="Arial" w:eastAsia="Arial" w:cs="Arial"/>
          <w:color w:val="000000"/>
          <w:sz w:val="20"/>
          <w:szCs w:val="20"/>
        </w:rPr>
        <w:t xml:space="preserve">Die verpflichtete Partei ist mittlerweile von ihrer Krankheit
genesen (ärztliche Bestätigung, Beilage ./3) und damit in der Lage,
im Fall der Aufschiebung des Vollzugs der Räumung für eine Dauer
von drei Monaten, innerhalb dieser Zeitspanne eine neue Wohnung zu
finden. Für die Dauer der Aufschiebung ist die verpflichtete Partei
weiters in der Lage, das Benützungsentgelt für die
verfahrensgegenständliche Wohnung an die betreibende Partei zu
bezahlen und wäre auch bereit, das auf die Dauer der Aufschiebung
entfallende Benützungsentgelt als Sicherheit zu erlegen.</w:t>
      </w:r>
    </w:p>
    <w:p>
      <w:pPr>
        <w:widowControl w:val="on"/>
        <w:pBdr/>
        <w:spacing w:before="140" w:after="240" w:line="288" w:lineRule="auto"/>
        <w:ind w:left="0" w:right="0"/>
        <w:jc w:val="left"/>
      </w:pPr>
      <w:r>
        <w:rPr>
          <w:rFonts w:ascii="Arial" w:hAnsi="Arial" w:eastAsia="Arial" w:cs="Arial"/>
          <w:color w:val="000000"/>
          <w:sz w:val="20"/>
          <w:szCs w:val="20"/>
        </w:rPr>
        <w:t xml:space="preserve">Aus oben angeführten Gründen stellt die verpflichtete Partei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Aufschiebung der Räumungsexekution gem § 35
Abs 1 MRG iVm §§ 42 ff EO um drei Monate.</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Schuldner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Auch für die Räumungsexekution gelten die Bestimmungen der
§§ 42 ff EO betreffend die Aufschiebung. Es muss dabei das
rechtliche Gehör des Antragsgegners gewahrt werden. Die
Aufschiebung setzt einen Aufschiebungsantrag der verpflichteten
Partei und die Bescheinigung oder eine nach der Aktenlage
offenkundige Gefahr eines nicht oder nur schwer zu ersetzenden
Vermögensnachteils gem § 44 Abs 1 EO voraus.</w:t>
      </w:r>
    </w:p>
    <w:p>
      <w:pPr>
        <w:widowControl w:val="on"/>
        <w:pBdr/>
        <w:spacing w:before="140" w:after="240" w:line="288" w:lineRule="auto"/>
        <w:ind w:left="0" w:right="0"/>
        <w:jc w:val="left"/>
      </w:pPr>
      <w:r>
        <w:rPr>
          <w:rFonts w:ascii="Arial" w:hAnsi="Arial" w:eastAsia="Arial" w:cs="Arial"/>
          <w:color w:val="000000"/>
          <w:sz w:val="20"/>
          <w:szCs w:val="20"/>
        </w:rPr>
        <w:t xml:space="preserve">Wenn die Aufschiebung geeignet ist, die Befriedigung des
betreibenden Gläubigers zu gefährden, dann kann die Aufschiebung
der Räumung von der Leistung einer Sicherheit iSd § 44
Abs 2 Z 3 EO abhängig gemacht werden. Bis zum Erlag der
Sicherheitsleistung ist das Exekutionsverfahren fortzusetzen.</w:t>
      </w:r>
    </w:p>
    <w:p>
      <w:pPr>
        <w:widowControl w:val="on"/>
        <w:pBdr/>
        <w:spacing w:before="140" w:after="240" w:line="288" w:lineRule="auto"/>
        <w:ind w:left="0" w:right="0"/>
        <w:jc w:val="left"/>
      </w:pPr>
      <w:r>
        <w:rPr>
          <w:rFonts w:ascii="Arial" w:hAnsi="Arial" w:eastAsia="Arial" w:cs="Arial"/>
          <w:color w:val="000000"/>
          <w:sz w:val="20"/>
          <w:szCs w:val="20"/>
        </w:rPr>
        <w:t xml:space="preserve">§ 35 Abs 1 MRG sieht vor, dass einem Mieter, dem
rechtskräftig gekündigt worden ist, der im Fall der zwangsweisen
Räumung der Obdachlosigkeit ausgesetzt ist, auf seinen Antrag hin
die Räumungsexekution gem § 42 EO aufzuschieben ist, wenn
die Aufschiebung dem betreibenden Vermieter nach der Lage der
Verhältnisse zugemutet werden kann. Für eine Aufschiebung müssen
beide Voraussetzungen kumulativ vorliegen.</w:t>
      </w:r>
    </w:p>
    <w:p>
      <w:pPr>
        <w:widowControl w:val="on"/>
        <w:pBdr/>
        <w:spacing w:before="140" w:after="240" w:line="288" w:lineRule="auto"/>
        <w:ind w:left="0" w:right="0"/>
        <w:jc w:val="left"/>
      </w:pPr>
      <w:r>
        <w:rPr>
          <w:rFonts w:ascii="Arial" w:hAnsi="Arial" w:eastAsia="Arial" w:cs="Arial"/>
          <w:color w:val="000000"/>
          <w:sz w:val="20"/>
          <w:szCs w:val="20"/>
        </w:rPr>
        <w:t xml:space="preserve">Eine Auschiebung kann aber nur dann bewilligt werden, wenn von
vornherein die Aussicht besteht, dass der Verpflichtete während der
Dauer des Räumungsaufschubs eine andere Unterkunft findet. Die
verpflichtete Partei muss dies im Aufschiebungsantrag entsprechend
bescheinigen. Besteht ein Mietzinsrückstand, dann kann dem
betreibenden Gläubiger die Aufschiebung nicht zugemutet werden.</w:t>
      </w:r>
    </w:p>
    <w:p>
      <w:pPr>
        <w:widowControl w:val="on"/>
        <w:pBdr/>
        <w:spacing w:before="140" w:after="240" w:line="288" w:lineRule="auto"/>
        <w:ind w:left="0" w:right="0"/>
        <w:jc w:val="left"/>
      </w:pPr>
      <w:r>
        <w:rPr>
          <w:rFonts w:ascii="Arial" w:hAnsi="Arial" w:eastAsia="Arial" w:cs="Arial"/>
          <w:color w:val="000000"/>
          <w:sz w:val="20"/>
          <w:szCs w:val="20"/>
        </w:rPr>
        <w:t xml:space="preserve">Die Verlängerung der Räumungsfrist soll gem § 35
Abs 1 MRG drei Monate nicht übersteigen. Wenn nach Ablauf der
im Räumungstitel vorgesehenen Leistungsfrist bereits drei Monate
verstrichen sind, dann kommt ein Aufschub nur wegen drohender
Obdachlosigkeit nicht in Betracht, sondern es müssen besonders
berücksichtigungswürdige Gründe vorliegen, die die verpflichtete
Partei im Aufschiebungsantrag geltend machen muss. Gem § 35
Abs 1 MRG kommt ein weiterer Aufschub bei Vorliegen besonders
berücksichtigungswürdiger Umstände höchstens zweimal und jeweils
nicht länger als um drei Monate infrage.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18192">
    <w:multiLevelType w:val="hybridMultilevel"/>
    <w:lvl w:ilvl="0" w:tplc="96782247">
      <w:start w:val="1"/>
      <w:numFmt w:val="decimal"/>
      <w:lvlText w:val="%1."/>
      <w:lvlJc w:val="left"/>
      <w:pPr>
        <w:ind w:left="720" w:hanging="360"/>
      </w:pPr>
    </w:lvl>
    <w:lvl w:ilvl="1" w:tplc="96782247" w:tentative="1">
      <w:start w:val="1"/>
      <w:numFmt w:val="lowerLetter"/>
      <w:lvlText w:val="%2."/>
      <w:lvlJc w:val="left"/>
      <w:pPr>
        <w:ind w:left="1440" w:hanging="360"/>
      </w:pPr>
    </w:lvl>
    <w:lvl w:ilvl="2" w:tplc="96782247" w:tentative="1">
      <w:start w:val="1"/>
      <w:numFmt w:val="lowerRoman"/>
      <w:lvlText w:val="%3."/>
      <w:lvlJc w:val="right"/>
      <w:pPr>
        <w:ind w:left="2160" w:hanging="180"/>
      </w:pPr>
    </w:lvl>
    <w:lvl w:ilvl="3" w:tplc="96782247" w:tentative="1">
      <w:start w:val="1"/>
      <w:numFmt w:val="decimal"/>
      <w:lvlText w:val="%4."/>
      <w:lvlJc w:val="left"/>
      <w:pPr>
        <w:ind w:left="2880" w:hanging="360"/>
      </w:pPr>
    </w:lvl>
    <w:lvl w:ilvl="4" w:tplc="96782247" w:tentative="1">
      <w:start w:val="1"/>
      <w:numFmt w:val="lowerLetter"/>
      <w:lvlText w:val="%5."/>
      <w:lvlJc w:val="left"/>
      <w:pPr>
        <w:ind w:left="3600" w:hanging="360"/>
      </w:pPr>
    </w:lvl>
    <w:lvl w:ilvl="5" w:tplc="96782247" w:tentative="1">
      <w:start w:val="1"/>
      <w:numFmt w:val="lowerRoman"/>
      <w:lvlText w:val="%6."/>
      <w:lvlJc w:val="right"/>
      <w:pPr>
        <w:ind w:left="4320" w:hanging="180"/>
      </w:pPr>
    </w:lvl>
    <w:lvl w:ilvl="6" w:tplc="96782247" w:tentative="1">
      <w:start w:val="1"/>
      <w:numFmt w:val="decimal"/>
      <w:lvlText w:val="%7."/>
      <w:lvlJc w:val="left"/>
      <w:pPr>
        <w:ind w:left="5040" w:hanging="360"/>
      </w:pPr>
    </w:lvl>
    <w:lvl w:ilvl="7" w:tplc="96782247" w:tentative="1">
      <w:start w:val="1"/>
      <w:numFmt w:val="lowerLetter"/>
      <w:lvlText w:val="%8."/>
      <w:lvlJc w:val="left"/>
      <w:pPr>
        <w:ind w:left="5760" w:hanging="360"/>
      </w:pPr>
    </w:lvl>
    <w:lvl w:ilvl="8" w:tplc="96782247" w:tentative="1">
      <w:start w:val="1"/>
      <w:numFmt w:val="lowerRoman"/>
      <w:lvlText w:val="%9."/>
      <w:lvlJc w:val="right"/>
      <w:pPr>
        <w:ind w:left="6480" w:hanging="180"/>
      </w:pPr>
    </w:lvl>
  </w:abstractNum>
  <w:abstractNum w:abstractNumId="11218191">
    <w:multiLevelType w:val="hybridMultilevel"/>
    <w:lvl w:ilvl="0" w:tplc="27255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18191">
    <w:abstractNumId w:val="11218191"/>
  </w:num>
  <w:num w:numId="11218192">
    <w:abstractNumId w:val="112181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53340337" Type="http://schemas.openxmlformats.org/officeDocument/2006/relationships/numbering" Target="numbering.xml"/><Relationship Id="rId92842295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