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4721015" w:name="document"/>
    <w:bookmarkEnd w:id="84721015"/>
    <w:p/>
    <w:p>
      <w:pPr>
        <w:widowControl w:val="on"/>
        <w:pBdr/>
        <w:spacing w:before="0" w:after="280" w:line="240" w:lineRule="auto"/>
        <w:ind w:left="0" w:right="0"/>
        <w:jc w:val="left"/>
      </w:pPr>
      <w:r>
        <w:rPr>
          <w:rFonts w:ascii="Arial" w:hAnsi="Arial" w:eastAsia="Arial" w:cs="Arial"/>
          <w:color w:val="363A40"/>
          <w:sz w:val="24"/>
          <w:szCs w:val="24"/>
        </w:rPr>
        <w:t xml:space="preserve">Dokument-ID: 905315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Exekutionsantrag auf Unterlassung (§ 355 EO)</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Exekutionsantrag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 </w:t>
            </w: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Sonstige Exekution siehe
Feldgruppe 6 unten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 das Bezirksgericht</w:t>
            </w:r>
            <w:r>
              <w:rPr>
                <w:rFonts w:ascii="Arial" w:hAnsi="Arial" w:eastAsia="Arial" w:cs="Arial"/>
                <w:color w:val="000000"/>
                <w:position w:val="0"/>
                <w:sz w:val="20"/>
                <w:szCs w:val="20"/>
                <w:shd w:val="clear" w:color="auto" w:fill="FFFFFF"/>
              </w:rPr>
              <w:br/>
              <w:t xml:space="preserve">Korneuburg</w:t>
            </w:r>
            <w:r>
              <w:rPr>
                <w:rFonts w:ascii="Arial" w:hAnsi="Arial" w:eastAsia="Arial" w:cs="Arial"/>
                <w:color w:val="000000"/>
                <w:position w:val="0"/>
                <w:sz w:val="20"/>
                <w:szCs w:val="20"/>
                <w:shd w:val="clear" w:color="auto" w:fill="FFFFFF"/>
              </w:rPr>
              <w:br/>
              <w:t xml:space="preserve">Landesgerichtsplatz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r>
              <w:rPr>
                <w:rFonts w:ascii="Arial" w:hAnsi="Arial" w:eastAsia="Arial" w:cs="Arial"/>
                <w:color w:val="000000"/>
                <w:position w:val="0"/>
                <w:sz w:val="20"/>
                <w:szCs w:val="20"/>
                <w:shd w:val="clear" w:color="auto" w:fill="FFFFFF"/>
              </w:rPr>
              <w:t xml:space="preserve"> Gebühreneinzug </w:t>
            </w:r>
            <w:r>
              <w:rPr>
                <w:rFonts w:ascii="Arial" w:hAnsi="Arial" w:eastAsia="Arial" w:cs="Arial"/>
                <w:b/>
                <w:bCs/>
                <w:color w:val="000000"/>
                <w:position w:val="0"/>
                <w:sz w:val="20"/>
                <w:szCs w:val="20"/>
                <w:shd w:val="clear" w:color="auto" w:fill="FFFFFF"/>
              </w:rPr>
              <w:t xml:space="preserve">x</w:t>
            </w:r>
            <w:r>
              <w:rPr>
                <w:rFonts w:ascii="Arial" w:hAnsi="Arial" w:eastAsia="Arial" w:cs="Arial"/>
                <w:color w:val="000000"/>
                <w:position w:val="0"/>
                <w:sz w:val="20"/>
                <w:szCs w:val="20"/>
                <w:shd w:val="clear" w:color="auto" w:fill="FFFFFF"/>
              </w:rPr>
              <w:t xml:space="preserve"> von Konto
im Anschriftscode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Parteien und deren Vertreter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Betreibende Partei:</w:t>
                  </w: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Markus Bewohner</w:t>
                  </w:r>
                  <w:r>
                    <w:rPr>
                      <w:rFonts w:ascii="Arial" w:hAnsi="Arial" w:eastAsia="Arial" w:cs="Arial"/>
                      <w:color w:val="000000"/>
                      <w:position w:val="0"/>
                      <w:sz w:val="20"/>
                      <w:szCs w:val="20"/>
                      <w:shd w:val="clear" w:color="auto" w:fill="FFFFFF"/>
                    </w:rPr>
                    <w:br/>
                    <w:t xml:space="preserve">Bahnstraße 24</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Ludwig Advokat</w:t>
                  </w:r>
                  <w:r>
                    <w:rPr>
                      <w:rFonts w:ascii="Arial" w:hAnsi="Arial" w:eastAsia="Arial" w:cs="Arial"/>
                      <w:color w:val="000000"/>
                      <w:position w:val="0"/>
                      <w:sz w:val="20"/>
                      <w:szCs w:val="20"/>
                      <w:shd w:val="clear" w:color="auto" w:fill="FFFFFF"/>
                    </w:rPr>
                    <w:br/>
                    <w:t xml:space="preserve">Bockgasse 5</w:t>
                  </w:r>
                  <w:r>
                    <w:rPr>
                      <w:rFonts w:ascii="Arial" w:hAnsi="Arial" w:eastAsia="Arial" w:cs="Arial"/>
                      <w:color w:val="000000"/>
                      <w:position w:val="0"/>
                      <w:sz w:val="20"/>
                      <w:szCs w:val="20"/>
                      <w:shd w:val="clear" w:color="auto" w:fill="FFFFFF"/>
                    </w:rPr>
                    <w:br/>
                    <w:t xml:space="preserve">1010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Verpflichtete Partei:</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Anton Musiker</w:t>
                  </w:r>
                  <w:r>
                    <w:rPr>
                      <w:rFonts w:ascii="Arial" w:hAnsi="Arial" w:eastAsia="Arial" w:cs="Arial"/>
                      <w:color w:val="000000"/>
                      <w:position w:val="0"/>
                      <w:sz w:val="20"/>
                      <w:szCs w:val="20"/>
                      <w:shd w:val="clear" w:color="auto" w:fill="FFFFFF"/>
                    </w:rPr>
                    <w:br/>
                    <w:t xml:space="preserve">Bahnstraße 25</w:t>
                  </w:r>
                  <w:r>
                    <w:rPr>
                      <w:rFonts w:ascii="Arial" w:hAnsi="Arial" w:eastAsia="Arial" w:cs="Arial"/>
                      <w:color w:val="000000"/>
                      <w:position w:val="0"/>
                      <w:sz w:val="20"/>
                      <w:szCs w:val="20"/>
                      <w:shd w:val="clear" w:color="auto" w:fill="FFFFFF"/>
                    </w:rPr>
                    <w:br/>
                    <w:t xml:space="preserve">2100 Korneuburg</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r>
              <w:rPr>
                <w:rFonts w:ascii="Arial" w:hAnsi="Arial" w:eastAsia="Arial" w:cs="Arial"/>
                <w:color w:val="000000"/>
                <w:position w:val="0"/>
                <w:sz w:val="20"/>
                <w:szCs w:val="20"/>
                <w:shd w:val="clear" w:color="auto" w:fill="FFFFFF"/>
              </w:rPr>
              <w:t xml:space="preserve"> Unterlassung (Streitwert nach RATG/GGG
EUR 2.000,–)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Exekutionsmittel – Anträge</w:t>
            </w:r>
            <w:r>
              <w:rPr>
                <w:rFonts w:ascii="Arial" w:hAnsi="Arial" w:eastAsia="Arial" w:cs="Arial"/>
                <w:b/>
                <w:bCs/>
                <w:color w:val="000000"/>
                <w:position w:val="0"/>
                <w:sz w:val="20"/>
                <w:szCs w:val="20"/>
                <w:shd w:val="clear" w:color="auto" w:fill="FFFFFF"/>
              </w:rPr>
              <w:br/>
              <w:t xml:space="preserve">Sonstige Exekution S</w:t>
            </w:r>
            <w:r>
              <w:rPr>
                <w:rFonts w:ascii="Arial" w:hAnsi="Arial" w:eastAsia="Arial" w:cs="Arial"/>
                <w:color w:val="000000"/>
                <w:position w:val="0"/>
                <w:sz w:val="20"/>
                <w:szCs w:val="20"/>
                <w:shd w:val="clear" w:color="auto" w:fill="FFFFFF"/>
              </w:rPr>
              <w:br/>
              <w:t xml:space="preserve">In dem in Feldgruppe 07 angeführten Vergleich hat sich die
verpflichtete Partei verpflichtet, es zu unterlassen, in der Zeit
zwischen 20:00 Uhr und 7:00 Uhr in ihrer Wohnung Schlagzeug zu
spielen. Gegen diese Verpflichtung hat die verpflichtete Partei in
der Nacht vom 10.04.2016 verstoßen. Die betreibende Partei
beantragt daher aufgrund dieses Verstoßes die Bewilligung der
Exekution zur Erwirkung der Unterlassung durch die Bewilligung
einer angemessenen Geldstrafe. Weiters möge die verpflichtete
Partei schuldig erkannt werden, der betreibenden Partei die in
Feldgruppe 09 verzeichneten Kosten des Exekutionsantrags zu
ersetzen.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Exekutionstitel – Hereinzubringende
Forderung</w:t>
            </w:r>
            <w:r>
              <w:rPr>
                <w:rFonts w:ascii="Arial" w:hAnsi="Arial" w:eastAsia="Arial" w:cs="Arial"/>
                <w:color w:val="000000"/>
                <w:position w:val="0"/>
                <w:sz w:val="20"/>
                <w:szCs w:val="20"/>
                <w:shd w:val="clear" w:color="auto" w:fill="FFFFFF"/>
              </w:rPr>
              <w:br/>
              <w:t xml:space="preserve">Art des Titels: Vergleich</w:t>
            </w:r>
            <w:r>
              <w:rPr>
                <w:rFonts w:ascii="Arial" w:hAnsi="Arial" w:eastAsia="Arial" w:cs="Arial"/>
                <w:color w:val="000000"/>
                <w:position w:val="0"/>
                <w:sz w:val="20"/>
                <w:szCs w:val="20"/>
                <w:shd w:val="clear" w:color="auto" w:fill="FFFFFF"/>
              </w:rPr>
              <w:br/>
              <w:t xml:space="preserve">Behörde/Notar: Bezirksgericht Korneuburg</w:t>
            </w:r>
            <w:r>
              <w:rPr>
                <w:rFonts w:ascii="Arial" w:hAnsi="Arial" w:eastAsia="Arial" w:cs="Arial"/>
                <w:color w:val="000000"/>
                <w:position w:val="0"/>
                <w:sz w:val="20"/>
                <w:szCs w:val="20"/>
                <w:shd w:val="clear" w:color="auto" w:fill="FFFFFF"/>
              </w:rPr>
              <w:br/>
              <w:t xml:space="preserve">Datum des Titels: 12.03.2016</w:t>
            </w:r>
            <w:r>
              <w:rPr>
                <w:rFonts w:ascii="Arial" w:hAnsi="Arial" w:eastAsia="Arial" w:cs="Arial"/>
                <w:color w:val="000000"/>
                <w:position w:val="0"/>
                <w:sz w:val="20"/>
                <w:szCs w:val="20"/>
                <w:shd w:val="clear" w:color="auto" w:fill="FFFFFF"/>
              </w:rPr>
              <w:br/>
              <w:t xml:space="preserve">Zeichen und Prüfbuchstabe des Titels: 5 C 89/16s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 des Exekutionsantrags</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2.000,00</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TP 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64,70</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120 % ES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77,64</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ERV-Erhöhungsbetrag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4,10</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29,29</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60,00</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235,73</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Weiteres Vorbringen</w:t>
            </w:r>
            <w:r>
              <w:rPr>
                <w:rFonts w:ascii="Arial" w:hAnsi="Arial" w:eastAsia="Arial" w:cs="Arial"/>
                <w:color w:val="000000"/>
                <w:position w:val="0"/>
                <w:sz w:val="20"/>
                <w:szCs w:val="20"/>
                <w:shd w:val="clear" w:color="auto" w:fill="FFFFFF"/>
              </w:rPr>
              <w:br/>
              <w:t xml:space="preserve">Eine Gleichschrift des Exekutionsantrags wurde der verpflichteten
Partei direkt übersendet.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 Exekution zur Durchsetzung der Unterlassung einer Handlung
erfolgt gem § 355 Abs 1 EO dadurch, dass wegen jeden
Zuwiderhandelns nach Eintritt der Vollstreckbarkeit des
Exekutionstitels auf Antrag vom Exekutionsgericht anlässlich der
Bewilligung der Exekution eine Geldstrafe verhängt wird. Das
Exekutionsgericht hat allerdings gem § 358 Abs 1 EO
der verpflichteten Partei vor der Verhängung der ersten Geldstrafe
die Gelegenheit zu einer Äußerung zu den Strafzumessungsgründen zu
geben.</w:t>
      </w:r>
    </w:p>
    <w:p>
      <w:pPr>
        <w:widowControl w:val="on"/>
        <w:pBdr/>
        <w:spacing w:before="140" w:after="240" w:line="288" w:lineRule="auto"/>
        <w:ind w:left="0" w:right="0"/>
        <w:jc w:val="left"/>
      </w:pPr>
      <w:r>
        <w:rPr>
          <w:rFonts w:ascii="Arial" w:hAnsi="Arial" w:eastAsia="Arial" w:cs="Arial"/>
          <w:color w:val="000000"/>
          <w:sz w:val="20"/>
          <w:szCs w:val="20"/>
        </w:rPr>
        <w:t xml:space="preserve">Bei der Unterlassungsexekution handelt es sich um eine sonstige
Exekution. In Feldgruppe 06 sind Ausführungen zum Verstoß der
verpflichteten Partei aufzunehmen. Sollte der vorgegebene Platz
nicht ausreichen, sind die Ausführungen unter Feldgruppe 11
fortzusetzen und in Feldgruppe 06 ist darauf hinzuweisen. Die
betreibende Partei muss im Exekutionsantrag ein konkretes
titelwidriges Verhalten der verpflichteten Partei behaupten. Eine
Bescheinigung oder ein Beweis ist aber nicht erforderlich. Der
verpflichteten Partei steht im Fall der Bestreitung des behaupteten
Verstoßes die Impugnationsklage offen. In diesem Verfahren trägt
dann die betreibende Partei die Beweislast für den Verstoß.</w:t>
      </w:r>
    </w:p>
    <w:p>
      <w:pPr>
        <w:widowControl w:val="on"/>
        <w:pBdr/>
        <w:spacing w:before="140" w:after="240" w:line="288" w:lineRule="auto"/>
        <w:ind w:left="0" w:right="0"/>
        <w:jc w:val="left"/>
      </w:pPr>
      <w:r>
        <w:rPr>
          <w:rFonts w:ascii="Arial" w:hAnsi="Arial" w:eastAsia="Arial" w:cs="Arial"/>
          <w:color w:val="000000"/>
          <w:sz w:val="20"/>
          <w:szCs w:val="20"/>
        </w:rPr>
        <w:t xml:space="preserve">Gem § 358 Abs 1 EO hat der betreibende Gläubiger den
Antrag auf Bewilligung der Exekution und jeden Strafantrag
gleichzeitig auch der verpflichteten Partei direkt zu übermitteln.
Diese Übersendung muss auf dem dem Gericht übermittelten Exemplar
vermerkt werden. Dafür steht zB Feldgruppe 11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Da es für die Unterlassungsexekution keinen Normalkostentarif
gibt, müssen die Kosten des Exekutionsantrags genau verzeichnet
werden. Für den Antrag können Kosten nach TP 2 RATG verzeichnet
werden.</w:t>
      </w:r>
    </w:p>
    <w:p>
      <w:pPr>
        <w:widowControl w:val="on"/>
        <w:pBdr/>
        <w:spacing w:before="140" w:after="240" w:line="288" w:lineRule="auto"/>
        <w:ind w:left="0" w:right="0"/>
        <w:jc w:val="left"/>
      </w:pPr>
      <w:r>
        <w:rPr>
          <w:rFonts w:ascii="Arial" w:hAnsi="Arial" w:eastAsia="Arial" w:cs="Arial"/>
          <w:color w:val="000000"/>
          <w:sz w:val="20"/>
          <w:szCs w:val="20"/>
        </w:rPr>
        <w:t xml:space="preserve">Für eine Unterlassungsexekution ist gem § 18 Z 4
EO das Bezirksgericht örtlich zuständig, in dessen Sprengel die
erste Exekutionshandlung tatsächlich vorzunehmen ist. IdR ist dies
das Gericht, in dessen Sprengel die verpflichtete Partei ihren
(Wohn-)Sitz hat.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78439">
    <w:multiLevelType w:val="hybridMultilevel"/>
    <w:lvl w:ilvl="0" w:tplc="15627626">
      <w:start w:val="1"/>
      <w:numFmt w:val="decimal"/>
      <w:lvlText w:val="%1."/>
      <w:lvlJc w:val="left"/>
      <w:pPr>
        <w:ind w:left="720" w:hanging="360"/>
      </w:pPr>
    </w:lvl>
    <w:lvl w:ilvl="1" w:tplc="15627626" w:tentative="1">
      <w:start w:val="1"/>
      <w:numFmt w:val="lowerLetter"/>
      <w:lvlText w:val="%2."/>
      <w:lvlJc w:val="left"/>
      <w:pPr>
        <w:ind w:left="1440" w:hanging="360"/>
      </w:pPr>
    </w:lvl>
    <w:lvl w:ilvl="2" w:tplc="15627626" w:tentative="1">
      <w:start w:val="1"/>
      <w:numFmt w:val="lowerRoman"/>
      <w:lvlText w:val="%3."/>
      <w:lvlJc w:val="right"/>
      <w:pPr>
        <w:ind w:left="2160" w:hanging="180"/>
      </w:pPr>
    </w:lvl>
    <w:lvl w:ilvl="3" w:tplc="15627626" w:tentative="1">
      <w:start w:val="1"/>
      <w:numFmt w:val="decimal"/>
      <w:lvlText w:val="%4."/>
      <w:lvlJc w:val="left"/>
      <w:pPr>
        <w:ind w:left="2880" w:hanging="360"/>
      </w:pPr>
    </w:lvl>
    <w:lvl w:ilvl="4" w:tplc="15627626" w:tentative="1">
      <w:start w:val="1"/>
      <w:numFmt w:val="lowerLetter"/>
      <w:lvlText w:val="%5."/>
      <w:lvlJc w:val="left"/>
      <w:pPr>
        <w:ind w:left="3600" w:hanging="360"/>
      </w:pPr>
    </w:lvl>
    <w:lvl w:ilvl="5" w:tplc="15627626" w:tentative="1">
      <w:start w:val="1"/>
      <w:numFmt w:val="lowerRoman"/>
      <w:lvlText w:val="%6."/>
      <w:lvlJc w:val="right"/>
      <w:pPr>
        <w:ind w:left="4320" w:hanging="180"/>
      </w:pPr>
    </w:lvl>
    <w:lvl w:ilvl="6" w:tplc="15627626" w:tentative="1">
      <w:start w:val="1"/>
      <w:numFmt w:val="decimal"/>
      <w:lvlText w:val="%7."/>
      <w:lvlJc w:val="left"/>
      <w:pPr>
        <w:ind w:left="5040" w:hanging="360"/>
      </w:pPr>
    </w:lvl>
    <w:lvl w:ilvl="7" w:tplc="15627626" w:tentative="1">
      <w:start w:val="1"/>
      <w:numFmt w:val="lowerLetter"/>
      <w:lvlText w:val="%8."/>
      <w:lvlJc w:val="left"/>
      <w:pPr>
        <w:ind w:left="5760" w:hanging="360"/>
      </w:pPr>
    </w:lvl>
    <w:lvl w:ilvl="8" w:tplc="15627626" w:tentative="1">
      <w:start w:val="1"/>
      <w:numFmt w:val="lowerRoman"/>
      <w:lvlText w:val="%9."/>
      <w:lvlJc w:val="right"/>
      <w:pPr>
        <w:ind w:left="6480" w:hanging="180"/>
      </w:pPr>
    </w:lvl>
  </w:abstractNum>
  <w:abstractNum w:abstractNumId="80578438">
    <w:multiLevelType w:val="hybridMultilevel"/>
    <w:lvl w:ilvl="0" w:tplc="51985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78438">
    <w:abstractNumId w:val="80578438"/>
  </w:num>
  <w:num w:numId="80578439">
    <w:abstractNumId w:val="805784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72964988" Type="http://schemas.openxmlformats.org/officeDocument/2006/relationships/numbering" Target="numbering.xml"/><Relationship Id="rId10557374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