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665994" w:name="document"/>
    <w:bookmarkEnd w:id="84665994"/>
    <w:p/>
    <w:p>
      <w:pPr>
        <w:widowControl w:val="on"/>
        <w:pBdr/>
        <w:spacing w:before="0" w:after="280" w:line="240" w:lineRule="auto"/>
        <w:ind w:left="0" w:right="0"/>
        <w:jc w:val="left"/>
      </w:pPr>
      <w:r>
        <w:rPr>
          <w:rFonts w:ascii="Arial" w:hAnsi="Arial" w:eastAsia="Arial" w:cs="Arial"/>
          <w:color w:val="363A40"/>
          <w:sz w:val="24"/>
          <w:szCs w:val="24"/>
        </w:rPr>
        <w:t xml:space="preserve">Dokument-ID: 872935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Gehaltsexekution nach § 294a EO und Fahrnisexekution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Exekutionsantrag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21 Forderungsexekution nach § 294a EO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10 Fahrnisexekution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das Bezirksgericht</w:t>
            </w:r>
            <w:r>
              <w:rPr>
                <w:rFonts w:ascii="Arial" w:hAnsi="Arial" w:eastAsia="Arial" w:cs="Arial"/>
                <w:color w:val="000000"/>
                <w:position w:val="0"/>
                <w:sz w:val="20"/>
                <w:szCs w:val="20"/>
                <w:shd w:val="clear" w:color="auto" w:fill="FFFFFF"/>
              </w:rPr>
              <w:br/>
              <w:t xml:space="preserve">Korneuburg</w:t>
            </w:r>
            <w:r>
              <w:rPr>
                <w:rFonts w:ascii="Arial" w:hAnsi="Arial" w:eastAsia="Arial" w:cs="Arial"/>
                <w:color w:val="000000"/>
                <w:position w:val="0"/>
                <w:sz w:val="20"/>
                <w:szCs w:val="20"/>
                <w:shd w:val="clear" w:color="auto" w:fill="FFFFFF"/>
              </w:rPr>
              <w:br/>
              <w:t xml:space="preserve">Landesgerichtsplatz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Gebühreneinzug </w:t>
            </w: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von Konto
im Anschriftcode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Parteien und deren Vertreter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Gläubiger GmbH</w:t>
                  </w:r>
                  <w:r>
                    <w:rPr>
                      <w:rFonts w:ascii="Arial" w:hAnsi="Arial" w:eastAsia="Arial" w:cs="Arial"/>
                      <w:color w:val="000000"/>
                      <w:position w:val="0"/>
                      <w:sz w:val="20"/>
                      <w:szCs w:val="20"/>
                      <w:shd w:val="clear" w:color="auto" w:fill="FFFFFF"/>
                    </w:rPr>
                    <w:br/>
                    <w:t xml:space="preserve">Liefergasse 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Kaiser, Rechtsanwalt</w:t>
                  </w:r>
                  <w:r>
                    <w:rPr>
                      <w:rFonts w:ascii="Arial" w:hAnsi="Arial" w:eastAsia="Arial" w:cs="Arial"/>
                      <w:color w:val="000000"/>
                      <w:position w:val="0"/>
                      <w:sz w:val="20"/>
                      <w:szCs w:val="20"/>
                      <w:shd w:val="clear" w:color="auto" w:fill="FFFFFF"/>
                    </w:rPr>
                    <w:br/>
                    <w:t xml:space="preserve">Hauptplatz 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Walter Schuldner</w:t>
                  </w:r>
                  <w:r>
                    <w:rPr>
                      <w:rFonts w:ascii="Arial" w:hAnsi="Arial" w:eastAsia="Arial" w:cs="Arial"/>
                      <w:color w:val="000000"/>
                      <w:position w:val="0"/>
                      <w:sz w:val="20"/>
                      <w:szCs w:val="20"/>
                      <w:shd w:val="clear" w:color="auto" w:fill="FFFFFF"/>
                    </w:rPr>
                    <w:br/>
                    <w:t xml:space="preserve">geb 23.04.1978</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 EUR 13.580,00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Exekutionsmittel – Anträge</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Forderungsexekution nach § 294a EO 21</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Exekution wird auf Geldforderungen (Arbeitseinkommen oder
sonstige Bezüge gem § 290 EO) des Verpflichteten gegen
den vom Hauptverband der österreichischen Sozialversicherungsträger
erst bekannt zu gebenden Drittschuldner zur Hereinbringung der in
Feldgruppe 07 genannten Forderung, der in Feldgruppe 08
bezeichneten Kosten sowie der Kosten dieses Antrags durch Pfändung
und Überweisung zur Einziehung beantragt.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Fahrnisexekution 10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Exekution wird zur Hereinbringung der in Feldgruppe 07
genannten Forderung, der in Feldgruppe 08 bezeichneten Kosten sowie
der Kosten dieses Antrags durch Pfändung und Verkauf der
beweglichen körperlichen Sachen aller Art, die sich im Gewahrsam
des Verpflichteten befinden, und Pfändung und Überweisung zur
Einziehung der in § 296 EO angeführten Papiere beantragt.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Exekutionstitel – Hereinzubringende
Forderung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 des Titels: Zahlungsbefehl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Behörde/Notar: Bezirksgericht Korneuburg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des Titels: 25.08.2013</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Zeichen und Prüfbuchstabe des Titels: 3 C 252/13x</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Vollstreckbarkeitsbestätigung vom: 30.09.2013</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Kapitalforderung, Währung: EUR 13.580,00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Darin enthaltene Nebenforderung(en), Währung: 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Zinsen pro Jahr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Zinsen in %: 4</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 EUR 13.580,00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15.05.2013</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Kosten, Währung: 1.478,92 EUR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Zinsen aus Kosten in %: 4</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seit: 25.08.2013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 des Exekutionsantrags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02</w:t>
            </w:r>
            <w:r>
              <w:rPr>
                <w:rFonts w:ascii="Arial" w:hAnsi="Arial" w:eastAsia="Arial" w:cs="Arial"/>
                <w:color w:val="000000"/>
                <w:position w:val="0"/>
                <w:sz w:val="20"/>
                <w:szCs w:val="20"/>
                <w:shd w:val="clear" w:color="auto" w:fill="FFFFFF"/>
              </w:rPr>
              <w:t xml:space="preserve"> Normalkosten TP 2</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Da es sich um eine Gehaltsexekution gem § 294a EO
handelt, muss das Geburtsdatum der verpflichteten Partei angeführt
werden, weil sonst dem Hauptverband der österreichischen
Sozialversicherungen eine Auskunft nicht möglich ist.</w:t>
      </w:r>
    </w:p>
    <w:p>
      <w:pPr>
        <w:widowControl w:val="on"/>
        <w:pBdr/>
        <w:spacing w:before="140" w:after="240" w:line="288" w:lineRule="auto"/>
        <w:ind w:left="0" w:right="0"/>
        <w:jc w:val="left"/>
      </w:pPr>
      <w:r>
        <w:rPr>
          <w:rFonts w:ascii="Arial" w:hAnsi="Arial" w:eastAsia="Arial" w:cs="Arial"/>
          <w:color w:val="000000"/>
          <w:sz w:val="20"/>
          <w:szCs w:val="20"/>
        </w:rPr>
        <w:t xml:space="preserve">Wenn aufgrund konkreter Anhaltspunkte, zB aufgrund der Herkunft
des Verpflichteten und unvollständiger Geburtsdaten in
Personenstandsurkunden, angenommen werden muss, diese Person wird
beim Hauptverband der österreichischen Sozialversicherungsträger
mit einem so genannten „fingierten Geburtsdatum“ (zB 00.00.1960)
geführt oder wenn angenommen werden kann, die Person wird, weil
ihre konkreten Geburtsdaten nicht ermittelt werden können, mit
einem so genannten „künstlichen Geburtsdatum“, das sind solche, in
denen das Geburtsmonat mit „13“ oder „14“ umschrieben wird, geführt
wird, dann hat über Antrag des betreibenden Gläubigers die Anfrage
nach § 294a EO unter Verwendung solcher Geburtsdaten zu
erfolgen (</w:t>
      </w:r>
      <w:r>
        <w:rPr>
          <w:rFonts w:ascii="Arial" w:hAnsi="Arial" w:eastAsia="Arial" w:cs="Arial"/>
          <w:i/>
          <w:iCs/>
          <w:color w:val="000000"/>
          <w:sz w:val="20"/>
          <w:szCs w:val="20"/>
        </w:rPr>
        <w:t xml:space="preserve">Angst/Jakusch/Mohr</w:t>
      </w:r>
      <w:r>
        <w:rPr>
          <w:rFonts w:ascii="Arial" w:hAnsi="Arial" w:eastAsia="Arial" w:cs="Arial"/>
          <w:color w:val="000000"/>
          <w:sz w:val="20"/>
          <w:szCs w:val="20"/>
        </w:rPr>
        <w:t xml:space="preserve">, EO15, Art 294a E
17).</w:t>
      </w:r>
    </w:p>
    <w:p>
      <w:pPr>
        <w:widowControl w:val="on"/>
        <w:pBdr/>
        <w:spacing w:before="140" w:after="240" w:line="288" w:lineRule="auto"/>
        <w:ind w:left="0" w:right="0"/>
        <w:jc w:val="left"/>
      </w:pPr>
      <w:r>
        <w:rPr>
          <w:rFonts w:ascii="Arial" w:hAnsi="Arial" w:eastAsia="Arial" w:cs="Arial"/>
          <w:color w:val="000000"/>
          <w:sz w:val="20"/>
          <w:szCs w:val="20"/>
        </w:rPr>
        <w:t xml:space="preserve">Gem § 14 Abs 1 EO ist die gleichzeitige Anwendung
mehrerer Exekutionsmittel gestattet. Die Bewilligung kann jedoch
auf einzelne Exekutionsmittel beschränkt werden, wenn aus dem
Exekutionsantrag offensichtlich ist, dass bereits eine oder mehrere
der beantragten Exekutionsmittel zur Befriedigung des betreibenden
Gläubigers reichen. § 14 Abs 2 EO bestimmt, dass bei
Anhängigkeit einer Gehaltsexekution oder einer Exekution auf andere
in fortlaufenden Bezügen bestehende Forderung eine Fahrnisexekution
erst dann zu vollziehen ist, wenn</w:t>
      </w:r>
    </w:p>
    <w:p>
      <w:pPr>
        <w:numPr>
          <w:ilvl w:val="0"/>
          <w:numId w:val="181142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Exekution nach § 294a EO erfolglos geblieben ist, weil
kein Drittschuldner ermittelt werden konnte, oder</w:t>
      </w:r>
    </w:p>
    <w:p>
      <w:pPr>
        <w:numPr>
          <w:ilvl w:val="0"/>
          <w:numId w:val="181142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Drittschuldner in seiner Erklärung die gepfändete Forderung
nicht als begründet anerkannt oder keine Erklärung abgegeben hat
oder</w:t>
      </w:r>
    </w:p>
    <w:p>
      <w:pPr>
        <w:numPr>
          <w:ilvl w:val="0"/>
          <w:numId w:val="1811428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betreibende Gläubiger den Vollzug der Exekution auf
bewegliche körperliche Sachen nach Erhalt der
Drittschuldnererklärung beantragt hat.</w:t>
      </w:r>
    </w:p>
    <w:p>
      <w:pPr>
        <w:widowControl w:val="on"/>
        <w:pBdr/>
        <w:spacing w:before="140" w:after="240" w:line="288" w:lineRule="auto"/>
        <w:ind w:left="0" w:right="0"/>
        <w:jc w:val="left"/>
      </w:pPr>
      <w:r>
        <w:rPr>
          <w:rFonts w:ascii="Arial" w:hAnsi="Arial" w:eastAsia="Arial" w:cs="Arial"/>
          <w:color w:val="000000"/>
          <w:sz w:val="20"/>
          <w:szCs w:val="20"/>
        </w:rPr>
        <w:t xml:space="preserve">Wenn die betreibende Partei die Fahrnis- und die
Gehaltsexekution nach § 294a EO beantragt, muss die
betreibende Partei nur dann einen Antrag auf Vollzug der
Fahrnisexekution stellen, wenn aufgrund der Drittschuldnererklärung
keine Abzüge möglich sind und in absehbarer Zeit auch nicht möglich
sein werden. Wird hingegen kein Drittschuldner ermittelt oder
besteht die Forderung bei einem ermittelten Drittschuldner im
Zeitpunkt der Zustellung an diesen nicht mehr, so erfolgt der
Vollzug der Fahrnisexekution von Amtswegen.</w:t>
      </w:r>
    </w:p>
    <w:p>
      <w:pPr>
        <w:widowControl w:val="on"/>
        <w:pBdr/>
        <w:spacing w:before="140" w:after="240" w:line="288" w:lineRule="auto"/>
        <w:ind w:left="0" w:right="0"/>
        <w:jc w:val="left"/>
      </w:pPr>
      <w:r>
        <w:rPr>
          <w:rFonts w:ascii="Arial" w:hAnsi="Arial" w:eastAsia="Arial" w:cs="Arial"/>
          <w:color w:val="000000"/>
          <w:sz w:val="20"/>
          <w:szCs w:val="20"/>
        </w:rPr>
        <w:t xml:space="preserve">Eine Exekution nach § 294a EO darf ein betreibender
Gläubiger nach Bewilligung der Fahrnisexekution erst dann
beantragen, wenn seit der Bewilligung ein Jahr vergangen ist oder
der betreibende Gläubiger glaubhaft macht, dass er erst nach seinem
Antrag auf Fahrnisexekution erfahren hat, dass dem Verpflichteten
beschränkt pfändbare Forderungen gem § 290a EO
zustehen.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1428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99179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901926">
    <w:multiLevelType w:val="hybridMultilevel"/>
    <w:lvl w:ilvl="0" w:tplc="26302626">
      <w:start w:val="1"/>
      <w:numFmt w:val="decimal"/>
      <w:lvlText w:val="%1."/>
      <w:lvlJc w:val="left"/>
      <w:pPr>
        <w:ind w:left="720" w:hanging="360"/>
      </w:pPr>
    </w:lvl>
    <w:lvl w:ilvl="1" w:tplc="26302626" w:tentative="1">
      <w:start w:val="1"/>
      <w:numFmt w:val="lowerLetter"/>
      <w:lvlText w:val="%2."/>
      <w:lvlJc w:val="left"/>
      <w:pPr>
        <w:ind w:left="1440" w:hanging="360"/>
      </w:pPr>
    </w:lvl>
    <w:lvl w:ilvl="2" w:tplc="26302626" w:tentative="1">
      <w:start w:val="1"/>
      <w:numFmt w:val="lowerRoman"/>
      <w:lvlText w:val="%3."/>
      <w:lvlJc w:val="right"/>
      <w:pPr>
        <w:ind w:left="2160" w:hanging="180"/>
      </w:pPr>
    </w:lvl>
    <w:lvl w:ilvl="3" w:tplc="26302626" w:tentative="1">
      <w:start w:val="1"/>
      <w:numFmt w:val="decimal"/>
      <w:lvlText w:val="%4."/>
      <w:lvlJc w:val="left"/>
      <w:pPr>
        <w:ind w:left="2880" w:hanging="360"/>
      </w:pPr>
    </w:lvl>
    <w:lvl w:ilvl="4" w:tplc="26302626" w:tentative="1">
      <w:start w:val="1"/>
      <w:numFmt w:val="lowerLetter"/>
      <w:lvlText w:val="%5."/>
      <w:lvlJc w:val="left"/>
      <w:pPr>
        <w:ind w:left="3600" w:hanging="360"/>
      </w:pPr>
    </w:lvl>
    <w:lvl w:ilvl="5" w:tplc="26302626" w:tentative="1">
      <w:start w:val="1"/>
      <w:numFmt w:val="lowerRoman"/>
      <w:lvlText w:val="%6."/>
      <w:lvlJc w:val="right"/>
      <w:pPr>
        <w:ind w:left="4320" w:hanging="180"/>
      </w:pPr>
    </w:lvl>
    <w:lvl w:ilvl="6" w:tplc="26302626" w:tentative="1">
      <w:start w:val="1"/>
      <w:numFmt w:val="decimal"/>
      <w:lvlText w:val="%7."/>
      <w:lvlJc w:val="left"/>
      <w:pPr>
        <w:ind w:left="5040" w:hanging="360"/>
      </w:pPr>
    </w:lvl>
    <w:lvl w:ilvl="7" w:tplc="26302626" w:tentative="1">
      <w:start w:val="1"/>
      <w:numFmt w:val="lowerLetter"/>
      <w:lvlText w:val="%8."/>
      <w:lvlJc w:val="left"/>
      <w:pPr>
        <w:ind w:left="5760" w:hanging="360"/>
      </w:pPr>
    </w:lvl>
    <w:lvl w:ilvl="8" w:tplc="26302626" w:tentative="1">
      <w:start w:val="1"/>
      <w:numFmt w:val="lowerRoman"/>
      <w:lvlText w:val="%9."/>
      <w:lvlJc w:val="right"/>
      <w:pPr>
        <w:ind w:left="6480" w:hanging="180"/>
      </w:pPr>
    </w:lvl>
  </w:abstractNum>
  <w:abstractNum w:abstractNumId="13901925">
    <w:multiLevelType w:val="hybridMultilevel"/>
    <w:lvl w:ilvl="0" w:tplc="86511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1925">
    <w:abstractNumId w:val="13901925"/>
  </w:num>
  <w:num w:numId="13901926">
    <w:abstractNumId w:val="13901926"/>
  </w:num>
  <w:num w:numId="489917944">
    <w:abstractNumId w:val="489917944"/>
  </w:num>
  <w:num w:numId="181142835">
    <w:abstractNumId w:val="181142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0520124" Type="http://schemas.openxmlformats.org/officeDocument/2006/relationships/numbering" Target="numbering.xml"/><Relationship Id="rId47725035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