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86767357" w:name="document"/>
    <w:bookmarkEnd w:id="86767357"/>
    <w:p/>
    <w:p>
      <w:pPr>
        <w:widowControl w:val="on"/>
        <w:pBdr/>
        <w:spacing w:before="0" w:after="280" w:line="240" w:lineRule="auto"/>
        <w:ind w:left="0" w:right="0"/>
        <w:jc w:val="left"/>
      </w:pPr>
      <w:r>
        <w:rPr>
          <w:rFonts w:ascii="Arial" w:hAnsi="Arial" w:eastAsia="Arial" w:cs="Arial"/>
          <w:color w:val="363A40"/>
          <w:sz w:val="24"/>
          <w:szCs w:val="24"/>
        </w:rPr>
        <w:t xml:space="preserve">Dokument-ID: 867577 | Barbara Pogacar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vorläufige Feststellung einer bestrittenen
Forderung</w:t>
      </w:r>
    </w:p>
    <w:p>
      <w:pPr>
        <w:widowControl w:val="on"/>
        <w:pBdr/>
        <w:spacing w:before="140" w:after="240" w:line="288" w:lineRule="auto"/>
        <w:ind w:left="0" w:right="0"/>
        <w:jc w:val="left"/>
      </w:pPr>
      <w:r>
        <w:rPr>
          <w:rFonts w:ascii="Arial" w:hAnsi="Arial" w:eastAsia="Arial" w:cs="Arial"/>
          <w:color w:val="000000"/>
          <w:sz w:val="20"/>
          <w:szCs w:val="20"/>
        </w:rPr>
        <w:t xml:space="preserve">Dr. Leopold Rechtsanwalt</w:t>
      </w:r>
      <w:r>
        <w:rPr>
          <w:rFonts w:ascii="Arial" w:hAnsi="Arial" w:eastAsia="Arial" w:cs="Arial"/>
          <w:color w:val="000000"/>
          <w:sz w:val="20"/>
          <w:szCs w:val="20"/>
        </w:rPr>
        <w:br/>
        <w:t xml:space="preserve">Hauptplatz 36</w:t>
      </w:r>
      <w:r>
        <w:rPr>
          <w:rFonts w:ascii="Arial" w:hAnsi="Arial" w:eastAsia="Arial" w:cs="Arial"/>
          <w:color w:val="000000"/>
          <w:sz w:val="20"/>
          <w:szCs w:val="20"/>
        </w:rPr>
        <w:br/>
        <w:t xml:space="preserve">2100 Korneuburg</w:t>
      </w:r>
    </w:p>
    <w:p>
      <w:pPr>
        <w:widowControl w:val="on"/>
        <w:pBdr/>
        <w:spacing w:before="140" w:after="240" w:line="288" w:lineRule="auto"/>
        <w:ind w:left="0" w:right="0"/>
        <w:jc w:val="left"/>
      </w:pPr>
      <w:r>
        <w:rPr>
          <w:rFonts w:ascii="Arial" w:hAnsi="Arial" w:eastAsia="Arial" w:cs="Arial"/>
          <w:b/>
          <w:bCs/>
          <w:color w:val="000000"/>
          <w:sz w:val="20"/>
          <w:szCs w:val="20"/>
        </w:rPr>
        <w:t xml:space="preserve">Landesgericht Korneuburg</w:t>
      </w:r>
      <w:r>
        <w:rPr>
          <w:rFonts w:ascii="Arial" w:hAnsi="Arial" w:eastAsia="Arial" w:cs="Arial"/>
          <w:color w:val="000000"/>
          <w:sz w:val="20"/>
          <w:szCs w:val="20"/>
        </w:rPr>
        <w:br/>
        <w:t xml:space="preserve">Hauptplatz 18</w:t>
      </w:r>
      <w:r>
        <w:rPr>
          <w:rFonts w:ascii="Arial" w:hAnsi="Arial" w:eastAsia="Arial" w:cs="Arial"/>
          <w:color w:val="000000"/>
          <w:sz w:val="20"/>
          <w:szCs w:val="20"/>
        </w:rPr>
        <w:br/>
        <w:t xml:space="preserve">2100 Korneuburg</w:t>
      </w:r>
    </w:p>
    <w:p>
      <w:pPr>
        <w:widowControl w:val="on"/>
        <w:pBdr/>
        <w:spacing w:before="140" w:after="240" w:line="288" w:lineRule="auto"/>
        <w:ind w:left="0" w:right="0"/>
        <w:jc w:val="right"/>
      </w:pPr>
      <w:r>
        <w:rPr>
          <w:rFonts w:ascii="Arial" w:hAnsi="Arial" w:eastAsia="Arial" w:cs="Arial"/>
          <w:color w:val="000000"/>
          <w:sz w:val="20"/>
          <w:szCs w:val="20"/>
        </w:rPr>
        <w:t xml:space="preserve">Korneuburg, am 25. Oktober 2010</w:t>
      </w:r>
    </w:p>
    <w:p>
      <w:pPr>
        <w:widowControl w:val="on"/>
        <w:pBdr/>
        <w:spacing w:before="140" w:after="240" w:line="288" w:lineRule="auto"/>
        <w:ind w:left="0" w:right="0"/>
        <w:jc w:val="left"/>
      </w:pPr>
      <w:r>
        <w:rPr>
          <w:rFonts w:ascii="Arial" w:hAnsi="Arial" w:eastAsia="Arial" w:cs="Arial"/>
          <w:color w:val="000000"/>
          <w:sz w:val="20"/>
          <w:szCs w:val="20"/>
        </w:rPr>
        <w:t xml:space="preserve">GZ 36 S 45/10 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800"/>
        <w:gridCol w:w="2655"/>
      </w:tblGrid>
      <w:tr>
        <w:trPr>
          <w:trHeight w:val="0" w:hRule="atLeast"/>
        </w:trPr>
        <w:tc>
          <w:tcPr>
            <w:tcW w:w="180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Schuldnerin:</w:t>
            </w:r>
          </w:p>
        </w:tc>
        <w:tc>
          <w:tcPr>
            <w:tcW w:w="265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Schuldner GmbH</w:t>
            </w:r>
            <w:r>
              <w:rPr>
                <w:rFonts w:ascii="Arial" w:hAnsi="Arial" w:eastAsia="Arial" w:cs="Arial"/>
                <w:color w:val="000000"/>
                <w:position w:val="0"/>
                <w:sz w:val="20"/>
                <w:szCs w:val="20"/>
                <w:shd w:val="clear" w:color="auto" w:fill="FFFFFF"/>
              </w:rPr>
              <w:br/>
              <w:t xml:space="preserve"> Bahnstraße 1</w:t>
            </w:r>
            <w:r>
              <w:rPr>
                <w:rFonts w:ascii="Arial" w:hAnsi="Arial" w:eastAsia="Arial" w:cs="Arial"/>
                <w:color w:val="000000"/>
                <w:position w:val="0"/>
                <w:sz w:val="20"/>
                <w:szCs w:val="20"/>
                <w:shd w:val="clear" w:color="auto" w:fill="FFFFFF"/>
              </w:rPr>
              <w:br/>
              <w:t xml:space="preserve"> 2100 Korneuburg</w:t>
            </w:r>
          </w:p>
        </w:tc>
      </w:tr>
      <w:tr>
        <w:trPr>
          <w:trHeight w:val="0" w:hRule="atLeast"/>
        </w:trPr>
        <w:tc>
          <w:tcPr>
            <w:tcW w:w="180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265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Friedrich Advokat</w:t>
            </w:r>
            <w:r>
              <w:rPr>
                <w:rFonts w:ascii="Arial" w:hAnsi="Arial" w:eastAsia="Arial" w:cs="Arial"/>
                <w:color w:val="000000"/>
                <w:position w:val="0"/>
                <w:sz w:val="20"/>
                <w:szCs w:val="20"/>
                <w:shd w:val="clear" w:color="auto" w:fill="FFFFFF"/>
              </w:rPr>
              <w:br/>
              <w:t xml:space="preserve"> Hauptplatz 15</w:t>
            </w:r>
            <w:r>
              <w:rPr>
                <w:rFonts w:ascii="Arial" w:hAnsi="Arial" w:eastAsia="Arial" w:cs="Arial"/>
                <w:color w:val="000000"/>
                <w:position w:val="0"/>
                <w:sz w:val="20"/>
                <w:szCs w:val="20"/>
                <w:shd w:val="clear" w:color="auto" w:fill="FFFFFF"/>
              </w:rPr>
              <w:br/>
              <w:t xml:space="preserve"> 2100 Korneuburg</w:t>
            </w:r>
          </w:p>
        </w:tc>
      </w:tr>
      <w:tr>
        <w:trPr>
          <w:trHeight w:val="0" w:hRule="atLeast"/>
        </w:trPr>
        <w:tc>
          <w:tcPr>
            <w:tcW w:w="180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Masseverwalter:</w:t>
            </w:r>
          </w:p>
        </w:tc>
        <w:tc>
          <w:tcPr>
            <w:tcW w:w="265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Dr. Klaus Masseverwalter</w:t>
            </w:r>
            <w:r>
              <w:rPr>
                <w:rFonts w:ascii="Arial" w:hAnsi="Arial" w:eastAsia="Arial" w:cs="Arial"/>
                <w:color w:val="000000"/>
                <w:position w:val="0"/>
                <w:sz w:val="20"/>
                <w:szCs w:val="20"/>
                <w:shd w:val="clear" w:color="auto" w:fill="FFFFFF"/>
              </w:rPr>
              <w:br/>
              <w:t xml:space="preserve"> Bisambergerstraße 1</w:t>
            </w:r>
            <w:r>
              <w:rPr>
                <w:rFonts w:ascii="Arial" w:hAnsi="Arial" w:eastAsia="Arial" w:cs="Arial"/>
                <w:color w:val="000000"/>
                <w:position w:val="0"/>
                <w:sz w:val="20"/>
                <w:szCs w:val="20"/>
                <w:shd w:val="clear" w:color="auto" w:fill="FFFFFF"/>
              </w:rPr>
              <w:br/>
              <w:t xml:space="preserve"> 2100 Korneuburg</w:t>
            </w:r>
          </w:p>
        </w:tc>
      </w:tr>
      <w:tr>
        <w:trPr>
          <w:trHeight w:val="0" w:hRule="atLeast"/>
        </w:trPr>
        <w:tc>
          <w:tcPr>
            <w:tcW w:w="180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Gläubigerin:</w:t>
            </w:r>
          </w:p>
        </w:tc>
        <w:tc>
          <w:tcPr>
            <w:tcW w:w="265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Liefer GmbH</w:t>
            </w:r>
            <w:r>
              <w:rPr>
                <w:rFonts w:ascii="Arial" w:hAnsi="Arial" w:eastAsia="Arial" w:cs="Arial"/>
                <w:color w:val="000000"/>
                <w:position w:val="0"/>
                <w:sz w:val="20"/>
                <w:szCs w:val="20"/>
                <w:shd w:val="clear" w:color="auto" w:fill="FFFFFF"/>
              </w:rPr>
              <w:br/>
              <w:t xml:space="preserve"> Liefergasse 15</w:t>
            </w:r>
            <w:r>
              <w:rPr>
                <w:rFonts w:ascii="Arial" w:hAnsi="Arial" w:eastAsia="Arial" w:cs="Arial"/>
                <w:color w:val="000000"/>
                <w:position w:val="0"/>
                <w:sz w:val="20"/>
                <w:szCs w:val="20"/>
                <w:shd w:val="clear" w:color="auto" w:fill="FFFFFF"/>
              </w:rPr>
              <w:br/>
              <w:t xml:space="preserve"> 2100 Korneuburg</w:t>
            </w:r>
          </w:p>
        </w:tc>
      </w:tr>
      <w:tr>
        <w:trPr>
          <w:trHeight w:val="0" w:hRule="atLeast"/>
        </w:trPr>
        <w:tc>
          <w:tcPr>
            <w:tcW w:w="180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265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Leopold Rechtsanwalt</w:t>
            </w:r>
            <w:r>
              <w:rPr>
                <w:rFonts w:ascii="Arial" w:hAnsi="Arial" w:eastAsia="Arial" w:cs="Arial"/>
                <w:color w:val="000000"/>
                <w:position w:val="0"/>
                <w:sz w:val="20"/>
                <w:szCs w:val="20"/>
                <w:shd w:val="clear" w:color="auto" w:fill="FFFFFF"/>
              </w:rPr>
              <w:br/>
              <w:t xml:space="preserve"> Hauptplatz 36</w:t>
            </w:r>
            <w:r>
              <w:rPr>
                <w:rFonts w:ascii="Arial" w:hAnsi="Arial" w:eastAsia="Arial" w:cs="Arial"/>
                <w:color w:val="000000"/>
                <w:position w:val="0"/>
                <w:sz w:val="20"/>
                <w:szCs w:val="20"/>
                <w:shd w:val="clear" w:color="auto" w:fill="FFFFFF"/>
              </w:rPr>
              <w:br/>
              <w:t xml:space="preserve"> 2100 Korneuburg</w:t>
            </w:r>
            <w:r>
              <w:rPr>
                <w:rFonts w:ascii="Arial" w:hAnsi="Arial" w:eastAsia="Arial" w:cs="Arial"/>
                <w:color w:val="000000"/>
                <w:position w:val="0"/>
                <w:sz w:val="20"/>
                <w:szCs w:val="20"/>
                <w:shd w:val="clear" w:color="auto" w:fill="FFFFFF"/>
              </w:rPr>
              <w:br/>
              <w:t xml:space="preserve"> (Vollmacht erteilt)</w:t>
            </w:r>
          </w:p>
        </w:tc>
      </w:tr>
      <w:tr>
        <w:trPr>
          <w:trHeight w:val="0" w:hRule="atLeast"/>
        </w:trPr>
        <w:tc>
          <w:tcPr>
            <w:tcW w:w="180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265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14.523,46</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vorläufige Feststellung
einer bestrittenen Forderung</w:t>
      </w:r>
    </w:p>
    <w:p>
      <w:pPr>
        <w:widowControl w:val="on"/>
        <w:pBdr/>
        <w:spacing w:before="140" w:after="240" w:line="288" w:lineRule="auto"/>
        <w:ind w:left="0" w:right="0"/>
        <w:jc w:val="right"/>
      </w:pPr>
      <w:r>
        <w:rPr>
          <w:rFonts w:ascii="Arial" w:hAnsi="Arial" w:eastAsia="Arial" w:cs="Arial"/>
          <w:color w:val="000000"/>
          <w:sz w:val="20"/>
          <w:szCs w:val="20"/>
        </w:rPr>
        <w:t xml:space="preserve">2-fach</w:t>
      </w:r>
    </w:p>
    <w:p>
      <w:pPr>
        <w:pageBreakBefore w:val="on"/>
      </w:pPr>
      <w:r/>
    </w:p>
    <w:p>
      <w:pPr>
        <w:widowControl w:val="on"/>
        <w:pBdr/>
        <w:spacing w:before="140" w:after="240" w:line="288" w:lineRule="auto"/>
        <w:ind w:left="0" w:right="0"/>
        <w:jc w:val="left"/>
      </w:pPr>
      <w:r>
        <w:rPr>
          <w:rFonts w:ascii="Arial" w:hAnsi="Arial" w:eastAsia="Arial" w:cs="Arial"/>
          <w:color w:val="000000"/>
          <w:sz w:val="20"/>
          <w:szCs w:val="20"/>
        </w:rPr>
        <w:t xml:space="preserve">In der Prüfungstagsatzung am 25. September 2010 hat der
Masseverwalter die von der Gläubigerin zu ON 15 angemeldete
Forderung in Höhe von EUR 14.523,46 zur Gänze bestritten. Als
Bestreitungsgrund hat der Masseverwalter Mangelhaftigkeit der von
der Gläubigerin gelieferten Maschine behauptet.</w:t>
      </w:r>
    </w:p>
    <w:p>
      <w:pPr>
        <w:widowControl w:val="on"/>
        <w:pBdr/>
        <w:spacing w:before="140" w:after="240" w:line="288" w:lineRule="auto"/>
        <w:ind w:left="0" w:right="0"/>
        <w:jc w:val="left"/>
      </w:pPr>
      <w:r>
        <w:rPr>
          <w:rFonts w:ascii="Arial" w:hAnsi="Arial" w:eastAsia="Arial" w:cs="Arial"/>
          <w:color w:val="000000"/>
          <w:sz w:val="20"/>
          <w:szCs w:val="20"/>
        </w:rPr>
        <w:t xml:space="preserve">Die Gläubigerin hat die von ihr hergestellte Maschine unter
Eigentumsvorbehalt geliefert, der bislang vom Masseverwalter (noch)
nicht anerkannt worden ist. Die Gläubigerin hat ihren nicht durch
das Aussonderungsrecht gedeckten Ausfall mit EUR 5.609,17
geschätzt.</w:t>
      </w:r>
    </w:p>
    <w:p>
      <w:pPr>
        <w:widowControl w:val="on"/>
        <w:pBdr/>
        <w:spacing w:before="140" w:after="240" w:line="288" w:lineRule="auto"/>
        <w:ind w:left="0" w:right="0"/>
        <w:jc w:val="left"/>
      </w:pPr>
      <w:r>
        <w:rPr>
          <w:rFonts w:ascii="Arial" w:hAnsi="Arial" w:eastAsia="Arial" w:cs="Arial"/>
          <w:color w:val="000000"/>
          <w:sz w:val="20"/>
          <w:szCs w:val="20"/>
        </w:rPr>
        <w:t xml:space="preserve">Die Gläubigerin stellt daher durch ihren ausgewiesenen
Rechtsvertreter den nachstehenden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auf vorläufige Feststellung der Forderung gem § 149
Abs 1 IO mit EUR 5.609,17 und auf Gewährung des
Stimmrechts für die so festgestellte Forderung.</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Liefer GmbH</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Der Abschluss eines Sanierungsplans führt nur zur Herabsetzung
der persönlichen Schuld des Schuldners, nicht aber zu einer
Herabsetzung der Sachhaftung (OGH 28.6.1990, ecolex 1990, 608).
Auch bewirkt die Annahme der Sanierungsplanquote nicht das
Erlöschen des Aussonderungsanspruchs. Gem § 149 Abs 1 IO
nehmen Gläubiger, deren Forderungen durch Aussonderungsrechte zum
Teil gedeckt sind, mit dem Ausfall am Sanierungsplanverfahren teil;
solange der Ausfall noch nicht endgültig feststeht, sind sie bei
der Sanierungsplanerfüllung mit dem mutmaßlichen Ausfall zu
berücksichtigen.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295477">
    <w:multiLevelType w:val="hybridMultilevel"/>
    <w:lvl w:ilvl="0" w:tplc="80496882">
      <w:start w:val="1"/>
      <w:numFmt w:val="decimal"/>
      <w:lvlText w:val="%1."/>
      <w:lvlJc w:val="left"/>
      <w:pPr>
        <w:ind w:left="720" w:hanging="360"/>
      </w:pPr>
    </w:lvl>
    <w:lvl w:ilvl="1" w:tplc="80496882" w:tentative="1">
      <w:start w:val="1"/>
      <w:numFmt w:val="lowerLetter"/>
      <w:lvlText w:val="%2."/>
      <w:lvlJc w:val="left"/>
      <w:pPr>
        <w:ind w:left="1440" w:hanging="360"/>
      </w:pPr>
    </w:lvl>
    <w:lvl w:ilvl="2" w:tplc="80496882" w:tentative="1">
      <w:start w:val="1"/>
      <w:numFmt w:val="lowerRoman"/>
      <w:lvlText w:val="%3."/>
      <w:lvlJc w:val="right"/>
      <w:pPr>
        <w:ind w:left="2160" w:hanging="180"/>
      </w:pPr>
    </w:lvl>
    <w:lvl w:ilvl="3" w:tplc="80496882" w:tentative="1">
      <w:start w:val="1"/>
      <w:numFmt w:val="decimal"/>
      <w:lvlText w:val="%4."/>
      <w:lvlJc w:val="left"/>
      <w:pPr>
        <w:ind w:left="2880" w:hanging="360"/>
      </w:pPr>
    </w:lvl>
    <w:lvl w:ilvl="4" w:tplc="80496882" w:tentative="1">
      <w:start w:val="1"/>
      <w:numFmt w:val="lowerLetter"/>
      <w:lvlText w:val="%5."/>
      <w:lvlJc w:val="left"/>
      <w:pPr>
        <w:ind w:left="3600" w:hanging="360"/>
      </w:pPr>
    </w:lvl>
    <w:lvl w:ilvl="5" w:tplc="80496882" w:tentative="1">
      <w:start w:val="1"/>
      <w:numFmt w:val="lowerRoman"/>
      <w:lvlText w:val="%6."/>
      <w:lvlJc w:val="right"/>
      <w:pPr>
        <w:ind w:left="4320" w:hanging="180"/>
      </w:pPr>
    </w:lvl>
    <w:lvl w:ilvl="6" w:tplc="80496882" w:tentative="1">
      <w:start w:val="1"/>
      <w:numFmt w:val="decimal"/>
      <w:lvlText w:val="%7."/>
      <w:lvlJc w:val="left"/>
      <w:pPr>
        <w:ind w:left="5040" w:hanging="360"/>
      </w:pPr>
    </w:lvl>
    <w:lvl w:ilvl="7" w:tplc="80496882" w:tentative="1">
      <w:start w:val="1"/>
      <w:numFmt w:val="lowerLetter"/>
      <w:lvlText w:val="%8."/>
      <w:lvlJc w:val="left"/>
      <w:pPr>
        <w:ind w:left="5760" w:hanging="360"/>
      </w:pPr>
    </w:lvl>
    <w:lvl w:ilvl="8" w:tplc="80496882" w:tentative="1">
      <w:start w:val="1"/>
      <w:numFmt w:val="lowerRoman"/>
      <w:lvlText w:val="%9."/>
      <w:lvlJc w:val="right"/>
      <w:pPr>
        <w:ind w:left="6480" w:hanging="180"/>
      </w:pPr>
    </w:lvl>
  </w:abstractNum>
  <w:abstractNum w:abstractNumId="28295476">
    <w:multiLevelType w:val="hybridMultilevel"/>
    <w:lvl w:ilvl="0" w:tplc="239085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295476">
    <w:abstractNumId w:val="28295476"/>
  </w:num>
  <w:num w:numId="28295477">
    <w:abstractNumId w:val="282954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50451787" Type="http://schemas.openxmlformats.org/officeDocument/2006/relationships/numbering" Target="numbering.xml"/><Relationship Id="rId840053236"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