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6831966" w:name="document"/>
    <w:bookmarkEnd w:id="36831966"/>
    <w:p/>
    <w:p>
      <w:pPr>
        <w:widowControl w:val="on"/>
        <w:pBdr/>
        <w:spacing w:before="0" w:after="280" w:line="240" w:lineRule="auto"/>
        <w:ind w:left="0" w:right="0"/>
        <w:jc w:val="left"/>
      </w:pPr>
      <w:r>
        <w:rPr>
          <w:rFonts w:ascii="Arial" w:hAnsi="Arial" w:eastAsia="Arial" w:cs="Arial"/>
          <w:color w:val="363A40"/>
          <w:sz w:val="24"/>
          <w:szCs w:val="24"/>
        </w:rPr>
        <w:t xml:space="preserve">Dokument-ID: 867770 | Barbara Pogacar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Sanierungsplanantrag und Angebot einer Treuhandschaft gem §
157i IO – Übergabe von Forderungen</w:t>
      </w:r>
    </w:p>
    <w:p>
      <w:pPr>
        <w:widowControl w:val="on"/>
        <w:pBdr/>
        <w:spacing w:before="140" w:after="240" w:line="288" w:lineRule="auto"/>
        <w:ind w:left="0" w:right="0"/>
        <w:jc w:val="left"/>
      </w:pPr>
      <w:r>
        <w:rPr>
          <w:rFonts w:ascii="Arial" w:hAnsi="Arial" w:eastAsia="Arial" w:cs="Arial"/>
          <w:b/>
          <w:bCs/>
          <w:color w:val="000000"/>
          <w:sz w:val="20"/>
          <w:szCs w:val="20"/>
        </w:rPr>
        <w:t xml:space="preserve">Dr. Franz Advokat</w:t>
      </w:r>
      <w:r>
        <w:rPr>
          <w:rFonts w:ascii="Arial" w:hAnsi="Arial" w:eastAsia="Arial" w:cs="Arial"/>
          <w:color w:val="000000"/>
          <w:sz w:val="20"/>
          <w:szCs w:val="20"/>
        </w:rPr>
        <w:br/>
        <w:t xml:space="preserve">Hauptplatz 9</w:t>
      </w:r>
      <w:r>
        <w:rPr>
          <w:rFonts w:ascii="Arial" w:hAnsi="Arial" w:eastAsia="Arial" w:cs="Arial"/>
          <w:color w:val="000000"/>
          <w:sz w:val="20"/>
          <w:szCs w:val="20"/>
        </w:rPr>
        <w:br/>
        <w:t xml:space="preserve">2500 Baden</w:t>
      </w:r>
    </w:p>
    <w:p>
      <w:pPr>
        <w:widowControl w:val="on"/>
        <w:pBdr/>
        <w:spacing w:before="140" w:after="240" w:line="288" w:lineRule="auto"/>
        <w:ind w:left="0" w:right="0"/>
        <w:jc w:val="left"/>
      </w:pPr>
      <w:r>
        <w:rPr>
          <w:rFonts w:ascii="Arial" w:hAnsi="Arial" w:eastAsia="Arial" w:cs="Arial"/>
          <w:b/>
          <w:bCs/>
          <w:color w:val="000000"/>
          <w:sz w:val="20"/>
          <w:szCs w:val="20"/>
        </w:rPr>
        <w:t xml:space="preserve">Landesgericht Wiener Neustadt</w:t>
      </w:r>
      <w:r>
        <w:rPr>
          <w:rFonts w:ascii="Arial" w:hAnsi="Arial" w:eastAsia="Arial" w:cs="Arial"/>
          <w:color w:val="000000"/>
          <w:sz w:val="20"/>
          <w:szCs w:val="20"/>
        </w:rPr>
        <w:br/>
        <w:t xml:space="preserve">Maria-Theresien-Ring 5</w:t>
      </w:r>
      <w:r>
        <w:rPr>
          <w:rFonts w:ascii="Arial" w:hAnsi="Arial" w:eastAsia="Arial" w:cs="Arial"/>
          <w:color w:val="000000"/>
          <w:sz w:val="20"/>
          <w:szCs w:val="20"/>
        </w:rPr>
        <w:br/>
        <w:t xml:space="preserve">2700 Wiener Neustadt</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b/>
          <w:bCs/>
          <w:color w:val="000000"/>
          <w:sz w:val="20"/>
          <w:szCs w:val="20"/>
        </w:rPr>
        <w:t xml:space="preserve">GZ 36 S 45/13s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 GmbH</w:t>
            </w:r>
            <w:r>
              <w:rPr>
                <w:rFonts w:ascii="Arial" w:hAnsi="Arial" w:eastAsia="Arial" w:cs="Arial"/>
                <w:color w:val="000000"/>
                <w:position w:val="0"/>
                <w:sz w:val="20"/>
                <w:szCs w:val="20"/>
                <w:shd w:val="clear" w:color="auto" w:fill="FFFFFF"/>
              </w:rPr>
              <w:br/>
              <w:t xml:space="preserve">Bahnstraße 1</w:t>
            </w:r>
            <w:r>
              <w:rPr>
                <w:rFonts w:ascii="Arial" w:hAnsi="Arial" w:eastAsia="Arial" w:cs="Arial"/>
                <w:color w:val="000000"/>
                <w:position w:val="0"/>
                <w:sz w:val="20"/>
                <w:szCs w:val="20"/>
                <w:shd w:val="clear" w:color="auto" w:fill="FFFFFF"/>
              </w:rPr>
              <w:br/>
              <w:t xml:space="preserve">2500 Baden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Franz Advokat</w:t>
            </w:r>
            <w:r>
              <w:rPr>
                <w:rFonts w:ascii="Arial" w:hAnsi="Arial" w:eastAsia="Arial" w:cs="Arial"/>
                <w:color w:val="000000"/>
                <w:position w:val="0"/>
                <w:sz w:val="20"/>
                <w:szCs w:val="20"/>
                <w:shd w:val="clear" w:color="auto" w:fill="FFFFFF"/>
              </w:rPr>
              <w:br/>
              <w:t xml:space="preserve">Hauptplatz 9</w:t>
            </w:r>
            <w:r>
              <w:rPr>
                <w:rFonts w:ascii="Arial" w:hAnsi="Arial" w:eastAsia="Arial" w:cs="Arial"/>
                <w:color w:val="000000"/>
                <w:position w:val="0"/>
                <w:sz w:val="20"/>
                <w:szCs w:val="20"/>
                <w:shd w:val="clear" w:color="auto" w:fill="FFFFFF"/>
              </w:rPr>
              <w:br/>
              <w:t xml:space="preserve">2500 Baden</w:t>
            </w:r>
            <w:r>
              <w:rPr>
                <w:rFonts w:ascii="Arial" w:hAnsi="Arial" w:eastAsia="Arial" w:cs="Arial"/>
                <w:color w:val="000000"/>
                <w:position w:val="0"/>
                <w:sz w:val="20"/>
                <w:szCs w:val="20"/>
                <w:shd w:val="clear" w:color="auto" w:fill="FFFFFF"/>
              </w:rPr>
              <w:br/>
              <w:t xml:space="preserve">(Vollmacht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Masseverwalter: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Dr. Klaus Masseverwalter</w:t>
            </w:r>
            <w:r>
              <w:rPr>
                <w:rFonts w:ascii="Arial" w:hAnsi="Arial" w:eastAsia="Arial" w:cs="Arial"/>
                <w:color w:val="000000"/>
                <w:position w:val="0"/>
                <w:sz w:val="20"/>
                <w:szCs w:val="20"/>
                <w:shd w:val="clear" w:color="auto" w:fill="FFFFFF"/>
              </w:rPr>
              <w:br/>
              <w:t xml:space="preserve">Hauptplatz 9–13</w:t>
            </w:r>
            <w:r>
              <w:rPr>
                <w:rFonts w:ascii="Arial" w:hAnsi="Arial" w:eastAsia="Arial" w:cs="Arial"/>
                <w:color w:val="000000"/>
                <w:position w:val="0"/>
                <w:sz w:val="20"/>
                <w:szCs w:val="20"/>
                <w:shd w:val="clear" w:color="auto" w:fill="FFFFFF"/>
              </w:rPr>
              <w:br/>
              <w:t xml:space="preserve">2500 Baden</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Abschluss eines
Sanierungsplans und Angebot einer Treuhandschaft
gem § 157i IO</w:t>
      </w:r>
    </w:p>
    <w:p>
      <w:pPr>
        <w:widowControl w:val="on"/>
        <w:pBdr/>
        <w:spacing w:before="140" w:after="240" w:line="288" w:lineRule="auto"/>
        <w:ind w:left="0" w:right="0"/>
        <w:jc w:val="right"/>
      </w:pPr>
      <w:r>
        <w:rPr>
          <w:rFonts w:ascii="Arial" w:hAnsi="Arial" w:eastAsia="Arial" w:cs="Arial"/>
          <w:color w:val="000000"/>
          <w:sz w:val="20"/>
          <w:szCs w:val="20"/>
        </w:rPr>
        <w:t xml:space="preserve">1 HS</w:t>
      </w:r>
      <w:r>
        <w:rPr>
          <w:rFonts w:ascii="Arial" w:hAnsi="Arial" w:eastAsia="Arial" w:cs="Arial"/>
          <w:color w:val="000000"/>
          <w:sz w:val="20"/>
          <w:szCs w:val="20"/>
        </w:rPr>
        <w:br/>
        <w:t xml:space="preserve">1 Beilage (25-fach)</w:t>
      </w:r>
    </w:p>
    <w:p>
      <w:pPr>
        <w:widowControl w:val="on"/>
        <w:pBdr/>
        <w:spacing w:before="140" w:after="240" w:line="288" w:lineRule="auto"/>
        <w:ind w:left="0" w:right="0"/>
        <w:jc w:val="left"/>
      </w:pPr>
      <w:r>
        <w:rPr>
          <w:rFonts w:ascii="Arial" w:hAnsi="Arial" w:eastAsia="Arial" w:cs="Arial"/>
          <w:color w:val="000000"/>
          <w:sz w:val="20"/>
          <w:szCs w:val="20"/>
        </w:rPr>
        <w:t xml:space="preserve">1 GS samt Beilage direkt an die Gläubigerschutzverbände AKV,
KSV, ISA und Creditreform sowie den Masseverwalter übermittelt.</w:t>
      </w:r>
    </w:p>
    <w:p>
      <w:pPr>
        <w:widowControl w:val="on"/>
        <w:pBdr/>
        <w:spacing w:before="140" w:after="240" w:line="288" w:lineRule="auto"/>
        <w:ind w:left="0" w:right="0"/>
        <w:jc w:val="left"/>
      </w:pPr>
      <w:r>
        <w:rPr>
          <w:rFonts w:ascii="Arial" w:hAnsi="Arial" w:eastAsia="Arial" w:cs="Arial"/>
          <w:color w:val="000000"/>
          <w:sz w:val="20"/>
          <w:szCs w:val="20"/>
        </w:rPr>
        <w:t xml:space="preserve">In umseits ausgewiesenem Konkursverfahren unterbreitet die
Schuldnerin ihren Gläubigern den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Sanierungsplanvorschlag</w:t>
      </w:r>
    </w:p>
    <w:p>
      <w:pPr>
        <w:numPr>
          <w:ilvl w:val="0"/>
          <w:numId w:val="674039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Ansprüche der Aussonderungs- und Absonderungsberechtigten
werden durch den Sanierungsplan nicht berührt.</w:t>
      </w:r>
    </w:p>
    <w:p>
      <w:pPr>
        <w:numPr>
          <w:ilvl w:val="0"/>
          <w:numId w:val="674039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Massegläubiger werden voll befriedigt.</w:t>
      </w:r>
    </w:p>
    <w:p>
      <w:pPr>
        <w:numPr>
          <w:ilvl w:val="0"/>
          <w:numId w:val="674039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Insolvenzgläubiger erhalten auf ihre Forderungen eine
20%ige Quote, zahlbar binnen zwei Jahren ab Annahme des
Sanierungsplans, nicht jedoch vor Rechtskraft der Aufhebung des
Konkursverfahrens.</w:t>
      </w:r>
    </w:p>
    <w:p>
      <w:pPr>
        <w:numPr>
          <w:ilvl w:val="0"/>
          <w:numId w:val="674039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Beträge, die auf bestrittene Forderungen entfallen, werden nach
Maßgabe von Punkt 3 sichergestellt, wenn die Frist zur Einbringung
der Klage noch offen oder wenn die Klage bis zur
Sanierungsplantagsatzung eingebracht worden ist.</w:t>
      </w:r>
    </w:p>
    <w:p>
      <w:pPr>
        <w:numPr>
          <w:ilvl w:val="0"/>
          <w:numId w:val="674039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Nachlass und die sonstigen Begünstigungen, die der
Sanierungsplan gewährt, werden für diejenigen Gläubiger hinfällig,
gegenüber welchen die Schuldnerin mit der Erfüllung des
Sanierungsplans in Verzug gerät. Ein solcher Verzug ist erst
anzunehmen, wenn die Schuldnerin eine seit mindestens sechs Wochen
fällige Verbindlichkeit trotz vom Gläubiger unter Einräumung einer
mindestens 14-tägigen Nachfrist an sie gerichteten schriftlichen
Mahnung nicht gezahlt oder den Quotenbetrag gerichtlich erlegt
hat.</w:t>
      </w:r>
    </w:p>
    <w:p>
      <w:pPr>
        <w:numPr>
          <w:ilvl w:val="0"/>
          <w:numId w:val="674039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Wechselforderungen erfolgt die Bezahlung gegen Ausfolgung
der gegenständlichen Akzepte. Sollten diese Unterschriften dritter,
wechselrechtlich mithaftender Personen tragen, so erfolgt die
Bezahlung der Quote gegen Streichung der Unterschrift der
Schuldnerin; allenfalls ist auf dem Wechsel anzumerken, dass die
Haftung der Schuldnerin als getilgt anzusehen ist.</w:t>
      </w:r>
    </w:p>
    <w:p>
      <w:pPr>
        <w:numPr>
          <w:ilvl w:val="0"/>
          <w:numId w:val="674039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Rechte der Insolvenzgläubiger gegen Bürgen oder
Mitschuldner der Schuldnerin sowie gegen Rückgriffsverpflichtete
werden durch den Sanierungsplan nicht berührt bzw beschränkt.</w:t>
      </w:r>
    </w:p>
    <w:p>
      <w:pPr>
        <w:widowControl w:val="on"/>
        <w:pBdr/>
        <w:spacing w:before="140" w:after="240" w:line="288" w:lineRule="auto"/>
        <w:ind w:left="0" w:right="0"/>
        <w:jc w:val="left"/>
      </w:pPr>
      <w:r>
        <w:rPr>
          <w:rFonts w:ascii="Arial" w:hAnsi="Arial" w:eastAsia="Arial" w:cs="Arial"/>
          <w:color w:val="000000"/>
          <w:sz w:val="20"/>
          <w:szCs w:val="20"/>
        </w:rPr>
        <w:t xml:space="preserve">Zur Angemessenheit und Erfüllbarkeit des Sanierungsplans: Die
Quote soll in der 2-Jahres-Frist durch Fortführung des Unternehmens
erwirtschaftet werden und entspricht der wirtschaftlichen
Ertragskraft des schuldnerischen Unternehmens im
Erfüllungszeitraum. Durch die hiermit ebenfalls angebotene
Treuhandschaft sollen die Insolvenzgläubiger eine Superquote
erhalten.</w:t>
      </w:r>
    </w:p>
    <w:p>
      <w:pPr>
        <w:widowControl w:val="on"/>
        <w:pBdr/>
        <w:spacing w:before="140" w:after="240" w:line="288" w:lineRule="auto"/>
        <w:ind w:left="0" w:right="0"/>
        <w:jc w:val="left"/>
      </w:pPr>
      <w:r>
        <w:rPr>
          <w:rFonts w:ascii="Arial" w:hAnsi="Arial" w:eastAsia="Arial" w:cs="Arial"/>
          <w:color w:val="000000"/>
          <w:sz w:val="20"/>
          <w:szCs w:val="20"/>
        </w:rPr>
        <w:t xml:space="preserve">Weiters bietet die Schuldnerin den Gläubigern an
nachstehende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Treuhandschaft gem § 157i
IO</w:t>
      </w:r>
    </w:p>
    <w:p>
      <w:pPr>
        <w:numPr>
          <w:ilvl w:val="0"/>
          <w:numId w:val="5476829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Schuldnerin bietet den Gläubigern eine Vermögensübergabe an
den Masseverwalter Dr. Klaus Masseverwalter als zu bestellenden
Treuhänder gem § 157g iVm § 157i IO an.</w:t>
      </w:r>
    </w:p>
    <w:p>
      <w:pPr>
        <w:numPr>
          <w:ilvl w:val="0"/>
          <w:numId w:val="5476829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Übergeben werden sämtliche Ansprüche der Schuldner GmbH aus
welchem Rechtsgrund auch immer und gegenüber welcher Person auch
immer und in welcher Höhe auch immer, insbesondere gegen die Organe
der Schuldner GmbH, deren Abschlussprüfer oder sonstige Dritte, die
aus der Zeit vor der Eröffnung des Konkursverfahrens zu GZ 36
S 45/13s des Landesgerichts für Wiener Neustadt resultieren,
insbesondere im Zusammenhang mit vorgenommenen
Gewinnausschüttungen, sonstigen Kapitalflüssen, anfechtbaren
Sachverhalten oder Lieferungen und Leistungen, soweit letztere den
Tatbestand der Einlagenrückgewähr erfüllen, auch gegenüber den
Gesellschaftern der Schuldner GmbH.</w:t>
      </w:r>
    </w:p>
    <w:p>
      <w:pPr>
        <w:numPr>
          <w:ilvl w:val="0"/>
          <w:numId w:val="5476829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Schuldnerin verpflichtet sich weiters, dem Treuhänder über
erste Aufforderung alle zur Durchsetzung der in Punkt 2 genannten
Ansprüche notwendigen Unterlagen kostenlos herauszugeben.</w:t>
      </w:r>
    </w:p>
    <w:p>
      <w:pPr>
        <w:numPr>
          <w:ilvl w:val="0"/>
          <w:numId w:val="5476829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Schuldnerin verpflichtet sich, dem Treuhänder bis längstens
20. August 2013 einen Betrag in Höhe von EUR 120.000,– zur
Deckung der Kosten der Anspruchsverfolgung aus der Treuhandschaft
einschließlich Barauslagen und Entlohnung des Treuhänders zu
übergeben. Der zur Deckung der Treuhandschaft als unverzinstes
nachrangiges Darlehen gewährte Betrag wird mit rechtskräftiger
Beendigung der Treuhandschaft zur Rückzahlung in analoger Anwendung
des § 46 IO fällig.</w:t>
      </w:r>
    </w:p>
    <w:p>
      <w:pPr>
        <w:numPr>
          <w:ilvl w:val="0"/>
          <w:numId w:val="5476829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Kommt es zu einem Zahlungsfluss in die Treuhandmasse, der
Masse- oder Quotenforderungen bei der Schuldnerin auslöst, so ist
daraus vorrangig das zur Finanzierung gewährte Darlehen
rückzuführen, danach sind allfällige weitere mit der Durchsetzung
der Treuhandschaft verbundene Barauslagen und Kosten zu bedienen.
Sodann sind sonstige Masse- oder Quotenforderungen, die durch den
Zahlungsfluss in die Treuhandmasse entstanden sind, vorrangig zu
bedienen.</w:t>
      </w:r>
    </w:p>
    <w:p>
      <w:pPr>
        <w:numPr>
          <w:ilvl w:val="0"/>
          <w:numId w:val="5476829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verbleibende Erlös wird vom Treuhänder an die Gläubiger
verteilt.</w:t>
      </w:r>
    </w:p>
    <w:p>
      <w:pPr>
        <w:widowControl w:val="on"/>
        <w:pBdr/>
        <w:spacing w:before="140" w:after="240" w:line="288" w:lineRule="auto"/>
        <w:ind w:left="0" w:right="0"/>
        <w:jc w:val="left"/>
      </w:pPr>
      <w:r>
        <w:rPr>
          <w:rFonts w:ascii="Arial" w:hAnsi="Arial" w:eastAsia="Arial" w:cs="Arial"/>
          <w:color w:val="000000"/>
          <w:sz w:val="20"/>
          <w:szCs w:val="20"/>
        </w:rPr>
        <w:t xml:space="preserve">Die Schuldnerin stellt sohin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Abschluss des Sanierungsplans und Bestellung von Dr. Klaus
Masseverwalter zum Treuhänder gem § 157g iVm § 157i
IO.</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Schuldner GmbH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Gem § 157i IO kann der Schuldner im Sanierungsplan auch
vorschlagen, sein Vermögen oder Teile seines Vermögens an einen
Treuhänder zur Verwertung zu übergeben. Es kann dabei auch
vorgesehen werden, dass der Treuhänder bestimmte zu bezeichnende
Ansprüche zur Befriedigung der Gläubiger geltend zu machen hat. Bei
der Vermögensübergabe kommt eine Zahlungsfrist von zwei Jahren zur
Anwendung. Die Frist ist zwingend und kann nicht geändert werden.
Über Antrag des Treuhänders kann die Frist aber
gem § 157i Abs 2 IO verlängert werden. Voraussetzung
der Verlängerung ist, dass diese im überwiegenden Interesse der
Beteiligten liegt. Die Frist kann auch mehrmals, maximal aber um
drei Jahre verlängert werden.</w:t>
      </w:r>
    </w:p>
    <w:p>
      <w:pPr>
        <w:widowControl w:val="on"/>
        <w:pBdr/>
        <w:spacing w:before="140" w:after="240" w:line="288" w:lineRule="auto"/>
        <w:ind w:left="0" w:right="0"/>
        <w:jc w:val="left"/>
      </w:pPr>
      <w:r>
        <w:rPr>
          <w:rFonts w:ascii="Arial" w:hAnsi="Arial" w:eastAsia="Arial" w:cs="Arial"/>
          <w:color w:val="000000"/>
          <w:sz w:val="20"/>
          <w:szCs w:val="20"/>
        </w:rPr>
        <w:t xml:space="preserve">Gem § 157g Abs 1 IO kann der Schuldner dem Treuhänder
erteilte Ermächtigungen zur Verwaltung und Verwertung von Vermögen
bis zur Beendigung der Tätigkeit des Treuhänders nicht mehr
widerrufen. Die Verfügungsbefugnis des Treuhänders ist
eingeschränkt, wenn der Treuhänder nach dem Inhalt des
Treuhändersanierungsplans aus dem Betrieb des übertragenen
Vermögens die Sanierungsplanquote erwirtschaften und danach das
Vermögen dem Schuldner rückübertragen soll.</w:t>
      </w:r>
    </w:p>
    <w:p>
      <w:pPr>
        <w:widowControl w:val="on"/>
        <w:pBdr/>
        <w:spacing w:before="140" w:after="240" w:line="288" w:lineRule="auto"/>
        <w:ind w:left="0" w:right="0"/>
        <w:jc w:val="left"/>
      </w:pPr>
      <w:r>
        <w:rPr>
          <w:rFonts w:ascii="Arial" w:hAnsi="Arial" w:eastAsia="Arial" w:cs="Arial"/>
          <w:color w:val="000000"/>
          <w:sz w:val="20"/>
          <w:szCs w:val="20"/>
        </w:rPr>
        <w:t xml:space="preserve">Rechtshandlungen des Schuldners, die das übertragene Vermögen
betreffen, sind den Gläubigern gegenüber unwirksam, soweit der
Treuhänder den Schuldner dazu nicht ermächtigt hat. Gem § 157h
Abs 1 IO wirken rechtskräftige Entscheidungen aus den vom
Treuhänder oder gegen den Treuhänder geführten Prozessen über
Angelegenheiten, die das übergebene Vermögen betreffen, auch
gegenüber dem Schuldner.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68299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740397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9445914">
    <w:multiLevelType w:val="hybridMultilevel"/>
    <w:lvl w:ilvl="0" w:tplc="15020415">
      <w:start w:val="1"/>
      <w:numFmt w:val="decimal"/>
      <w:lvlText w:val="%1."/>
      <w:lvlJc w:val="left"/>
      <w:pPr>
        <w:ind w:left="720" w:hanging="360"/>
      </w:pPr>
    </w:lvl>
    <w:lvl w:ilvl="1" w:tplc="15020415" w:tentative="1">
      <w:start w:val="1"/>
      <w:numFmt w:val="lowerLetter"/>
      <w:lvlText w:val="%2."/>
      <w:lvlJc w:val="left"/>
      <w:pPr>
        <w:ind w:left="1440" w:hanging="360"/>
      </w:pPr>
    </w:lvl>
    <w:lvl w:ilvl="2" w:tplc="15020415" w:tentative="1">
      <w:start w:val="1"/>
      <w:numFmt w:val="lowerRoman"/>
      <w:lvlText w:val="%3."/>
      <w:lvlJc w:val="right"/>
      <w:pPr>
        <w:ind w:left="2160" w:hanging="180"/>
      </w:pPr>
    </w:lvl>
    <w:lvl w:ilvl="3" w:tplc="15020415" w:tentative="1">
      <w:start w:val="1"/>
      <w:numFmt w:val="decimal"/>
      <w:lvlText w:val="%4."/>
      <w:lvlJc w:val="left"/>
      <w:pPr>
        <w:ind w:left="2880" w:hanging="360"/>
      </w:pPr>
    </w:lvl>
    <w:lvl w:ilvl="4" w:tplc="15020415" w:tentative="1">
      <w:start w:val="1"/>
      <w:numFmt w:val="lowerLetter"/>
      <w:lvlText w:val="%5."/>
      <w:lvlJc w:val="left"/>
      <w:pPr>
        <w:ind w:left="3600" w:hanging="360"/>
      </w:pPr>
    </w:lvl>
    <w:lvl w:ilvl="5" w:tplc="15020415" w:tentative="1">
      <w:start w:val="1"/>
      <w:numFmt w:val="lowerRoman"/>
      <w:lvlText w:val="%6."/>
      <w:lvlJc w:val="right"/>
      <w:pPr>
        <w:ind w:left="4320" w:hanging="180"/>
      </w:pPr>
    </w:lvl>
    <w:lvl w:ilvl="6" w:tplc="15020415" w:tentative="1">
      <w:start w:val="1"/>
      <w:numFmt w:val="decimal"/>
      <w:lvlText w:val="%7."/>
      <w:lvlJc w:val="left"/>
      <w:pPr>
        <w:ind w:left="5040" w:hanging="360"/>
      </w:pPr>
    </w:lvl>
    <w:lvl w:ilvl="7" w:tplc="15020415" w:tentative="1">
      <w:start w:val="1"/>
      <w:numFmt w:val="lowerLetter"/>
      <w:lvlText w:val="%8."/>
      <w:lvlJc w:val="left"/>
      <w:pPr>
        <w:ind w:left="5760" w:hanging="360"/>
      </w:pPr>
    </w:lvl>
    <w:lvl w:ilvl="8" w:tplc="15020415" w:tentative="1">
      <w:start w:val="1"/>
      <w:numFmt w:val="lowerRoman"/>
      <w:lvlText w:val="%9."/>
      <w:lvlJc w:val="right"/>
      <w:pPr>
        <w:ind w:left="6480" w:hanging="180"/>
      </w:pPr>
    </w:lvl>
  </w:abstractNum>
  <w:abstractNum w:abstractNumId="59445913">
    <w:multiLevelType w:val="hybridMultilevel"/>
    <w:lvl w:ilvl="0" w:tplc="69443512">
      <w:start w:val="1"/>
      <w:numFmt w:val="decimal"/>
      <w:lvlText w:val="%1."/>
      <w:lvlJc w:val="left"/>
      <w:pPr>
        <w:ind w:left="720" w:hanging="360"/>
      </w:pPr>
    </w:lvl>
    <w:lvl w:ilvl="1" w:tplc="69443512" w:tentative="1">
      <w:start w:val="1"/>
      <w:numFmt w:val="lowerLetter"/>
      <w:lvlText w:val="%2."/>
      <w:lvlJc w:val="left"/>
      <w:pPr>
        <w:ind w:left="1440" w:hanging="360"/>
      </w:pPr>
    </w:lvl>
    <w:lvl w:ilvl="2" w:tplc="69443512" w:tentative="1">
      <w:start w:val="1"/>
      <w:numFmt w:val="lowerRoman"/>
      <w:lvlText w:val="%3."/>
      <w:lvlJc w:val="right"/>
      <w:pPr>
        <w:ind w:left="2160" w:hanging="180"/>
      </w:pPr>
    </w:lvl>
    <w:lvl w:ilvl="3" w:tplc="69443512" w:tentative="1">
      <w:start w:val="1"/>
      <w:numFmt w:val="decimal"/>
      <w:lvlText w:val="%4."/>
      <w:lvlJc w:val="left"/>
      <w:pPr>
        <w:ind w:left="2880" w:hanging="360"/>
      </w:pPr>
    </w:lvl>
    <w:lvl w:ilvl="4" w:tplc="69443512" w:tentative="1">
      <w:start w:val="1"/>
      <w:numFmt w:val="lowerLetter"/>
      <w:lvlText w:val="%5."/>
      <w:lvlJc w:val="left"/>
      <w:pPr>
        <w:ind w:left="3600" w:hanging="360"/>
      </w:pPr>
    </w:lvl>
    <w:lvl w:ilvl="5" w:tplc="69443512" w:tentative="1">
      <w:start w:val="1"/>
      <w:numFmt w:val="lowerRoman"/>
      <w:lvlText w:val="%6."/>
      <w:lvlJc w:val="right"/>
      <w:pPr>
        <w:ind w:left="4320" w:hanging="180"/>
      </w:pPr>
    </w:lvl>
    <w:lvl w:ilvl="6" w:tplc="69443512" w:tentative="1">
      <w:start w:val="1"/>
      <w:numFmt w:val="decimal"/>
      <w:lvlText w:val="%7."/>
      <w:lvlJc w:val="left"/>
      <w:pPr>
        <w:ind w:left="5040" w:hanging="360"/>
      </w:pPr>
    </w:lvl>
    <w:lvl w:ilvl="7" w:tplc="69443512" w:tentative="1">
      <w:start w:val="1"/>
      <w:numFmt w:val="lowerLetter"/>
      <w:lvlText w:val="%8."/>
      <w:lvlJc w:val="left"/>
      <w:pPr>
        <w:ind w:left="5760" w:hanging="360"/>
      </w:pPr>
    </w:lvl>
    <w:lvl w:ilvl="8" w:tplc="69443512" w:tentative="1">
      <w:start w:val="1"/>
      <w:numFmt w:val="lowerRoman"/>
      <w:lvlText w:val="%9."/>
      <w:lvlJc w:val="right"/>
      <w:pPr>
        <w:ind w:left="6480" w:hanging="180"/>
      </w:pPr>
    </w:lvl>
  </w:abstractNum>
  <w:abstractNum w:abstractNumId="88826214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9445912">
    <w:multiLevelType w:val="hybridMultilevel"/>
    <w:lvl w:ilvl="0" w:tplc="27517039">
      <w:start w:val="1"/>
      <w:numFmt w:val="decimal"/>
      <w:lvlText w:val="%1."/>
      <w:lvlJc w:val="left"/>
      <w:pPr>
        <w:ind w:left="720" w:hanging="360"/>
      </w:pPr>
    </w:lvl>
    <w:lvl w:ilvl="1" w:tplc="27517039" w:tentative="1">
      <w:start w:val="1"/>
      <w:numFmt w:val="lowerLetter"/>
      <w:lvlText w:val="%2."/>
      <w:lvlJc w:val="left"/>
      <w:pPr>
        <w:ind w:left="1440" w:hanging="360"/>
      </w:pPr>
    </w:lvl>
    <w:lvl w:ilvl="2" w:tplc="27517039" w:tentative="1">
      <w:start w:val="1"/>
      <w:numFmt w:val="lowerRoman"/>
      <w:lvlText w:val="%3."/>
      <w:lvlJc w:val="right"/>
      <w:pPr>
        <w:ind w:left="2160" w:hanging="180"/>
      </w:pPr>
    </w:lvl>
    <w:lvl w:ilvl="3" w:tplc="27517039" w:tentative="1">
      <w:start w:val="1"/>
      <w:numFmt w:val="decimal"/>
      <w:lvlText w:val="%4."/>
      <w:lvlJc w:val="left"/>
      <w:pPr>
        <w:ind w:left="2880" w:hanging="360"/>
      </w:pPr>
    </w:lvl>
    <w:lvl w:ilvl="4" w:tplc="27517039" w:tentative="1">
      <w:start w:val="1"/>
      <w:numFmt w:val="lowerLetter"/>
      <w:lvlText w:val="%5."/>
      <w:lvlJc w:val="left"/>
      <w:pPr>
        <w:ind w:left="3600" w:hanging="360"/>
      </w:pPr>
    </w:lvl>
    <w:lvl w:ilvl="5" w:tplc="27517039" w:tentative="1">
      <w:start w:val="1"/>
      <w:numFmt w:val="lowerRoman"/>
      <w:lvlText w:val="%6."/>
      <w:lvlJc w:val="right"/>
      <w:pPr>
        <w:ind w:left="4320" w:hanging="180"/>
      </w:pPr>
    </w:lvl>
    <w:lvl w:ilvl="6" w:tplc="27517039" w:tentative="1">
      <w:start w:val="1"/>
      <w:numFmt w:val="decimal"/>
      <w:lvlText w:val="%7."/>
      <w:lvlJc w:val="left"/>
      <w:pPr>
        <w:ind w:left="5040" w:hanging="360"/>
      </w:pPr>
    </w:lvl>
    <w:lvl w:ilvl="7" w:tplc="27517039" w:tentative="1">
      <w:start w:val="1"/>
      <w:numFmt w:val="lowerLetter"/>
      <w:lvlText w:val="%8."/>
      <w:lvlJc w:val="left"/>
      <w:pPr>
        <w:ind w:left="5760" w:hanging="360"/>
      </w:pPr>
    </w:lvl>
    <w:lvl w:ilvl="8" w:tplc="27517039" w:tentative="1">
      <w:start w:val="1"/>
      <w:numFmt w:val="lowerRoman"/>
      <w:lvlText w:val="%9."/>
      <w:lvlJc w:val="right"/>
      <w:pPr>
        <w:ind w:left="6480" w:hanging="180"/>
      </w:pPr>
    </w:lvl>
  </w:abstractNum>
  <w:abstractNum w:abstractNumId="59445911">
    <w:multiLevelType w:val="hybridMultilevel"/>
    <w:lvl w:ilvl="0" w:tplc="89216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45911">
    <w:abstractNumId w:val="59445911"/>
  </w:num>
  <w:num w:numId="59445912">
    <w:abstractNumId w:val="59445912"/>
  </w:num>
  <w:num w:numId="888262148">
    <w:abstractNumId w:val="888262148"/>
  </w:num>
  <w:num w:numId="59445913">
    <w:abstractNumId w:val="59445913"/>
  </w:num>
  <w:num w:numId="59445914">
    <w:abstractNumId w:val="59445914"/>
  </w:num>
  <w:num w:numId="67403979">
    <w:abstractNumId w:val="67403979"/>
  </w:num>
  <w:num w:numId="547682998">
    <w:abstractNumId w:val="5476829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72252375" Type="http://schemas.openxmlformats.org/officeDocument/2006/relationships/numbering" Target="numbering.xml"/><Relationship Id="rId97255256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