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998756" w:name="document"/>
    <w:bookmarkEnd w:id="31998756"/>
    <w:p/>
    <w:p>
      <w:pPr>
        <w:widowControl w:val="on"/>
        <w:pBdr/>
        <w:spacing w:before="0" w:after="280" w:line="240" w:lineRule="auto"/>
        <w:ind w:left="0" w:right="0"/>
        <w:jc w:val="left"/>
      </w:pPr>
      <w:r>
        <w:rPr>
          <w:rFonts w:ascii="Arial" w:hAnsi="Arial" w:eastAsia="Arial" w:cs="Arial"/>
          <w:color w:val="363A40"/>
          <w:sz w:val="24"/>
          <w:szCs w:val="24"/>
        </w:rPr>
        <w:t xml:space="preserve">Dokument-ID: 867180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Genehmigung einer Nachtragsverteilung</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Bisambergerstraße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Korneuburg</w:t>
      </w:r>
      <w:r>
        <w:rPr>
          <w:rFonts w:ascii="Arial" w:hAnsi="Arial" w:eastAsia="Arial" w:cs="Arial"/>
          <w:color w:val="000000"/>
          <w:sz w:val="20"/>
          <w:szCs w:val="20"/>
        </w:rPr>
        <w:br/>
        <w:t xml:space="preserve">Hauptplatz 18</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25. September 2012</w:t>
      </w:r>
    </w:p>
    <w:p>
      <w:pPr>
        <w:widowControl w:val="on"/>
        <w:pBdr/>
        <w:spacing w:before="140" w:after="240" w:line="288" w:lineRule="auto"/>
        <w:ind w:left="0" w:right="0"/>
        <w:jc w:val="left"/>
      </w:pPr>
      <w:r>
        <w:rPr>
          <w:rFonts w:ascii="Arial" w:hAnsi="Arial" w:eastAsia="Arial" w:cs="Arial"/>
          <w:b/>
          <w:bCs/>
          <w:color w:val="000000"/>
          <w:sz w:val="20"/>
          <w:szCs w:val="20"/>
        </w:rPr>
        <w:t xml:space="preserve">GZ 36 S 45/10 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Franz Advokat</w:t>
            </w:r>
            <w:r>
              <w:rPr>
                <w:rFonts w:ascii="Arial" w:hAnsi="Arial" w:eastAsia="Arial" w:cs="Arial"/>
                <w:color w:val="000000"/>
                <w:position w:val="0"/>
                <w:sz w:val="20"/>
                <w:szCs w:val="20"/>
                <w:shd w:val="clear" w:color="auto" w:fill="FFFFFF"/>
              </w:rPr>
              <w:br/>
              <w:t xml:space="preserve">Hauptplatz 15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100 Korneuburg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Genehmigung einer
Nachtragsverteilung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Je 1 GS samt Beilagen wurde den bevorrechteten
Gläubigerschutzverbänden AKV KSV, ISA und Creditreform sowie dem
Schuldnervertreter direkt übermittelt.</w:t>
      </w:r>
    </w:p>
    <w:p>
      <w:pPr>
        <w:widowControl w:val="on"/>
        <w:pBdr/>
        <w:spacing w:before="140" w:after="240" w:line="288" w:lineRule="auto"/>
        <w:ind w:left="0" w:right="0"/>
        <w:jc w:val="left"/>
      </w:pPr>
      <w:r>
        <w:rPr>
          <w:rFonts w:ascii="Arial" w:hAnsi="Arial" w:eastAsia="Arial" w:cs="Arial"/>
          <w:color w:val="000000"/>
          <w:sz w:val="20"/>
          <w:szCs w:val="20"/>
        </w:rPr>
        <w:t xml:space="preserve">Nach Durchführung der Schlussverteilung am 18. Mai 2012 ist
nunmehr die Insolvenzquote der ElektroA-GmbH (GZ 4 S 45/08/x
des Landesgerichts St. Pölten) in Höhe von EUR 26.385,12 auf
das Anderkonto des Masseverwalters überwiesen worden und ist daher
gem § 138 Abs 1 IO zu verteilen.</w:t>
      </w:r>
    </w:p>
    <w:p>
      <w:pPr>
        <w:widowControl w:val="on"/>
        <w:pBdr/>
        <w:spacing w:before="140" w:after="240" w:line="288" w:lineRule="auto"/>
        <w:ind w:left="0" w:right="0"/>
        <w:jc w:val="left"/>
      </w:pPr>
      <w:r>
        <w:rPr>
          <w:rFonts w:ascii="Arial" w:hAnsi="Arial" w:eastAsia="Arial" w:cs="Arial"/>
          <w:color w:val="000000"/>
          <w:sz w:val="20"/>
          <w:szCs w:val="20"/>
        </w:rPr>
        <w:t xml:space="preserve">Für die Nachtragsverteilung spricht der Masseverwalter eine
Entlohnung von EUR 2.638,51 zuzüglich 20 % USt in Höhe
von EUR 527,70, sohin in Summe EUR 3.166,21 an;
vorbehaltlich der insolvenzgerichtlichen Bestimmung der Entlohnung
des Masseverwalters für die Nachtragsverteilung ergibt sich ein
nachtragsverteilungsfähiges Vermögen von EUR 23.218,90. Die
Insolvenzgläubiger erhalten sohin eine Nachtragsquote von
1,5 %. Der Masseverwalter legt dazu den Kontoauszug (Beilage
./1) und den Nachtragsverteilungsentwurf (Beilage ./2) vor.</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stellt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Landesgericht Korneuburg als Insolvenzgericht möge die
Kosten für die Nachtragsverteilung mit EUR 2.638,51 zuzüglich
20 % USt in Höhe von EUR 527,70, in Summe sohin
EUR 3.166,21, bestimmen und den vorgelegten
Nachtragsverteilungsentwurf genehmigen.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p>
    <w:p>
      <w:pPr>
        <w:widowControl w:val="on"/>
        <w:pBdr/>
        <w:spacing w:before="140" w:after="240" w:line="288" w:lineRule="auto"/>
        <w:ind w:left="0" w:right="0"/>
        <w:jc w:val="left"/>
      </w:pPr>
      <w:r>
        <w:rPr>
          <w:rFonts w:ascii="Arial" w:hAnsi="Arial" w:eastAsia="Arial" w:cs="Arial"/>
          <w:color w:val="000000"/>
          <w:sz w:val="20"/>
          <w:szCs w:val="20"/>
        </w:rP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138 IO legt fest, wie mit nach der Schlussverteilung frei
werdendem oder zum Vorschein kommendem Vermögen umzugehen ist. So
sieht Abs 1 vor, dass Beträge, die nach der Schlussverteilung
in die Masse fließen, aufgrund des Schlussverteilungsentwurfs vom
Insolvenzverwalter mit Genehmigung des Insolvenzgerichts zu
verteilen sind. Der Nachweis darüber ist dem Insolvenzgericht
vorzulegen. Abs 2 bestimmt, dass dasselbe gilt, wenn nach der
Aufhebung des Insolvenzverfahrens Vermögensstücke ermittelt werden.
Nachträglich ist ein Vermögensstück dann ermittelt, wenn seine
Existenz vor der Schlussverteilung bzw während des
Insolvenzverfahrens unbekannt war, wobei es unerheblich ist,
weshalb die Ermittlung erst verspätet erfolgt ist (OGH 9 ObA 9/06y,
ZIK 2006/264, 201).</w:t>
      </w:r>
    </w:p>
    <w:p>
      <w:pPr>
        <w:widowControl w:val="on"/>
        <w:pBdr/>
        <w:spacing w:before="140" w:after="240" w:line="288" w:lineRule="auto"/>
        <w:ind w:left="0" w:right="0"/>
        <w:jc w:val="left"/>
      </w:pPr>
      <w:r>
        <w:rPr>
          <w:rFonts w:ascii="Arial" w:hAnsi="Arial" w:eastAsia="Arial" w:cs="Arial"/>
          <w:color w:val="000000"/>
          <w:sz w:val="20"/>
          <w:szCs w:val="20"/>
        </w:rPr>
        <w:t xml:space="preserve">Ist der nachträglich in die Masse geflossene Betrag nur sehr
gering und außer Relation zu den mit einer Verteilung verbundenen
Kosten, so kann das Insolvenzgericht nach einer Einvernahme des
Insolvenzverwalters und des Gläubigerausschusses den zur Verfügung
stehenden Betrag dem Schuldner überlassen. Insolvenzgläubiger, die
bei einer Nachtragsverteilung weniger als EUR 10,– erhalten
würden, sind bei der Verteilung nicht zu berücksichtigen, um diese
Beträge erhöhen sich die Quotenzahlungen an die anderen
Insolvenzgläubiger.</w:t>
      </w:r>
    </w:p>
    <w:p>
      <w:pPr>
        <w:widowControl w:val="on"/>
        <w:pBdr/>
        <w:spacing w:before="140" w:after="240" w:line="288" w:lineRule="auto"/>
        <w:ind w:left="0" w:right="0"/>
        <w:jc w:val="left"/>
      </w:pPr>
      <w:r>
        <w:rPr>
          <w:rFonts w:ascii="Arial" w:hAnsi="Arial" w:eastAsia="Arial" w:cs="Arial"/>
          <w:color w:val="000000"/>
          <w:sz w:val="20"/>
          <w:szCs w:val="20"/>
        </w:rPr>
        <w:t xml:space="preserve">Mit der Bewilligung der Nachtragsverteilung ist der frühere
Masseverwalter neuerlich zur Amtsausübung berufen (OGH 8 Ob 80/06
g, ZIK 2006/275, 207). Es kann auch ein neuer Masseverwalter
bestellt werden, dies aber nur, wenn wichtige Gründe vorliegen, die
bei einem noch laufenden Insolvenzverfahren zu einer Enthebung
führen würden (Mohr, IO, 11. Auflage § 138 E 30). Sobald der
Vollzug der Schlussverteilung nachgewiesen ist, hat das
Insolvenzgericht das Insolvenzverfahren gem § 139 IO
wieder aufzuheben.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43652">
    <w:multiLevelType w:val="hybridMultilevel"/>
    <w:lvl w:ilvl="0" w:tplc="32992335">
      <w:start w:val="1"/>
      <w:numFmt w:val="decimal"/>
      <w:lvlText w:val="%1."/>
      <w:lvlJc w:val="left"/>
      <w:pPr>
        <w:ind w:left="720" w:hanging="360"/>
      </w:pPr>
    </w:lvl>
    <w:lvl w:ilvl="1" w:tplc="32992335" w:tentative="1">
      <w:start w:val="1"/>
      <w:numFmt w:val="lowerLetter"/>
      <w:lvlText w:val="%2."/>
      <w:lvlJc w:val="left"/>
      <w:pPr>
        <w:ind w:left="1440" w:hanging="360"/>
      </w:pPr>
    </w:lvl>
    <w:lvl w:ilvl="2" w:tplc="32992335" w:tentative="1">
      <w:start w:val="1"/>
      <w:numFmt w:val="lowerRoman"/>
      <w:lvlText w:val="%3."/>
      <w:lvlJc w:val="right"/>
      <w:pPr>
        <w:ind w:left="2160" w:hanging="180"/>
      </w:pPr>
    </w:lvl>
    <w:lvl w:ilvl="3" w:tplc="32992335" w:tentative="1">
      <w:start w:val="1"/>
      <w:numFmt w:val="decimal"/>
      <w:lvlText w:val="%4."/>
      <w:lvlJc w:val="left"/>
      <w:pPr>
        <w:ind w:left="2880" w:hanging="360"/>
      </w:pPr>
    </w:lvl>
    <w:lvl w:ilvl="4" w:tplc="32992335" w:tentative="1">
      <w:start w:val="1"/>
      <w:numFmt w:val="lowerLetter"/>
      <w:lvlText w:val="%5."/>
      <w:lvlJc w:val="left"/>
      <w:pPr>
        <w:ind w:left="3600" w:hanging="360"/>
      </w:pPr>
    </w:lvl>
    <w:lvl w:ilvl="5" w:tplc="32992335" w:tentative="1">
      <w:start w:val="1"/>
      <w:numFmt w:val="lowerRoman"/>
      <w:lvlText w:val="%6."/>
      <w:lvlJc w:val="right"/>
      <w:pPr>
        <w:ind w:left="4320" w:hanging="180"/>
      </w:pPr>
    </w:lvl>
    <w:lvl w:ilvl="6" w:tplc="32992335" w:tentative="1">
      <w:start w:val="1"/>
      <w:numFmt w:val="decimal"/>
      <w:lvlText w:val="%7."/>
      <w:lvlJc w:val="left"/>
      <w:pPr>
        <w:ind w:left="5040" w:hanging="360"/>
      </w:pPr>
    </w:lvl>
    <w:lvl w:ilvl="7" w:tplc="32992335" w:tentative="1">
      <w:start w:val="1"/>
      <w:numFmt w:val="lowerLetter"/>
      <w:lvlText w:val="%8."/>
      <w:lvlJc w:val="left"/>
      <w:pPr>
        <w:ind w:left="5760" w:hanging="360"/>
      </w:pPr>
    </w:lvl>
    <w:lvl w:ilvl="8" w:tplc="32992335" w:tentative="1">
      <w:start w:val="1"/>
      <w:numFmt w:val="lowerRoman"/>
      <w:lvlText w:val="%9."/>
      <w:lvlJc w:val="right"/>
      <w:pPr>
        <w:ind w:left="6480" w:hanging="180"/>
      </w:pPr>
    </w:lvl>
  </w:abstractNum>
  <w:abstractNum w:abstractNumId="37943651">
    <w:multiLevelType w:val="hybridMultilevel"/>
    <w:lvl w:ilvl="0" w:tplc="78769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43651">
    <w:abstractNumId w:val="37943651"/>
  </w:num>
  <w:num w:numId="37943652">
    <w:abstractNumId w:val="37943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84911859" Type="http://schemas.openxmlformats.org/officeDocument/2006/relationships/numbering" Target="numbering.xml"/><Relationship Id="rId47013398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