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2763598" w:name="document"/>
    <w:bookmarkEnd w:id="12763598"/>
    <w:p/>
    <w:p>
      <w:pPr>
        <w:widowControl w:val="on"/>
        <w:pBdr/>
        <w:spacing w:before="0" w:after="280" w:line="240" w:lineRule="auto"/>
        <w:ind w:left="0" w:right="0"/>
        <w:jc w:val="left"/>
      </w:pPr>
      <w:r>
        <w:rPr>
          <w:rFonts w:ascii="Arial" w:hAnsi="Arial" w:eastAsia="Arial" w:cs="Arial"/>
          <w:color w:val="363A40"/>
          <w:sz w:val="24"/>
          <w:szCs w:val="24"/>
        </w:rPr>
        <w:t xml:space="preserve">Dokument-ID: 867827 | Barbara Pogacar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Entziehung der Eigenverwaltung wegen Zuwiderhandlung
gegen die Interessen der Gläubiger</w:t>
      </w:r>
    </w:p>
    <w:p>
      <w:pPr>
        <w:widowControl w:val="on"/>
        <w:pBdr/>
        <w:spacing w:before="140" w:after="240" w:line="288" w:lineRule="auto"/>
        <w:ind w:left="0" w:right="0"/>
        <w:jc w:val="left"/>
      </w:pPr>
      <w:r>
        <w:rPr>
          <w:rFonts w:ascii="Arial" w:hAnsi="Arial" w:eastAsia="Arial" w:cs="Arial"/>
          <w:color w:val="000000"/>
          <w:sz w:val="20"/>
          <w:szCs w:val="20"/>
        </w:rPr>
        <w:t xml:space="preserve">Dr. Werner Sanierungsverwalter</w:t>
      </w:r>
      <w:r>
        <w:rPr>
          <w:rFonts w:ascii="Arial" w:hAnsi="Arial" w:eastAsia="Arial" w:cs="Arial"/>
          <w:color w:val="000000"/>
          <w:sz w:val="20"/>
          <w:szCs w:val="20"/>
        </w:rPr>
        <w:br/>
        <w:t xml:space="preserve">Bisambergerstraße 1</w:t>
      </w:r>
      <w:r>
        <w:rPr>
          <w:rFonts w:ascii="Arial" w:hAnsi="Arial" w:eastAsia="Arial" w:cs="Arial"/>
          <w:color w:val="000000"/>
          <w:sz w:val="20"/>
          <w:szCs w:val="20"/>
        </w:rPr>
        <w:br/>
        <w:t xml:space="preserve">2100 Korneuburg</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b/>
          <w:bCs/>
          <w:color w:val="000000"/>
          <w:sz w:val="20"/>
          <w:szCs w:val="20"/>
        </w:rPr>
        <w:t xml:space="preserve">Landesgericht Korneuburg</w:t>
      </w:r>
      <w:r>
        <w:rPr>
          <w:rFonts w:ascii="Arial" w:hAnsi="Arial" w:eastAsia="Arial" w:cs="Arial"/>
          <w:color w:val="000000"/>
          <w:sz w:val="20"/>
          <w:szCs w:val="20"/>
        </w:rPr>
        <w:br/>
        <w:t xml:space="preserve">Landesgerichtsplatz 1</w:t>
      </w:r>
      <w:r>
        <w:rPr>
          <w:rFonts w:ascii="Arial" w:hAnsi="Arial" w:eastAsia="Arial" w:cs="Arial"/>
          <w:color w:val="000000"/>
          <w:sz w:val="20"/>
          <w:szCs w:val="20"/>
        </w:rPr>
        <w:br/>
        <w:t xml:space="preserve">2100 Korneuburg</w:t>
      </w:r>
    </w:p>
    <w:p>
      <w:pPr>
        <w:widowControl w:val="on"/>
        <w:pBdr/>
        <w:spacing w:before="140" w:after="240" w:line="288" w:lineRule="auto"/>
        <w:ind w:left="0" w:right="0"/>
        <w:jc w:val="right"/>
      </w:pPr>
      <w:r>
        <w:rPr>
          <w:rFonts w:ascii="Arial" w:hAnsi="Arial" w:eastAsia="Arial" w:cs="Arial"/>
          <w:color w:val="000000"/>
          <w:sz w:val="20"/>
          <w:szCs w:val="20"/>
        </w:rPr>
        <w:t xml:space="preserve">Korneuburg, am 14. November 2010</w:t>
      </w:r>
    </w:p>
    <w:p>
      <w:pPr>
        <w:widowControl w:val="on"/>
        <w:pBdr/>
        <w:spacing w:before="140" w:after="240" w:line="288" w:lineRule="auto"/>
        <w:ind w:left="0" w:right="0"/>
        <w:jc w:val="right"/>
      </w:pPr>
      <w:r>
        <w:rPr>
          <w:rFonts w:ascii="Arial" w:hAnsi="Arial" w:eastAsia="Arial" w:cs="Arial"/>
          <w:b/>
          <w:bCs/>
          <w:color w:val="000000"/>
          <w:sz w:val="20"/>
          <w:szCs w:val="20"/>
        </w:rPr>
        <w:t xml:space="preserve">GZ 36
S 29/10z</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Schuldnerin: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Alfred Bau GmbH</w:t>
            </w:r>
            <w:r>
              <w:rPr>
                <w:rFonts w:ascii="Arial" w:hAnsi="Arial" w:eastAsia="Arial" w:cs="Arial"/>
                <w:color w:val="000000"/>
                <w:position w:val="0"/>
                <w:sz w:val="20"/>
                <w:szCs w:val="20"/>
                <w:shd w:val="clear" w:color="auto" w:fill="FFFFFF"/>
              </w:rPr>
              <w:br/>
              <w:t xml:space="preserve">Bahnstraße 17</w:t>
            </w:r>
            <w:r>
              <w:rPr>
                <w:rFonts w:ascii="Arial" w:hAnsi="Arial" w:eastAsia="Arial" w:cs="Arial"/>
                <w:color w:val="000000"/>
                <w:position w:val="0"/>
                <w:sz w:val="20"/>
                <w:szCs w:val="20"/>
                <w:shd w:val="clear" w:color="auto" w:fill="FFFFFF"/>
              </w:rPr>
              <w:br/>
              <w:t xml:space="preserve">2100 Korneuburg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Wolfgang Rechtsanwalt</w:t>
            </w:r>
            <w:r>
              <w:rPr>
                <w:rFonts w:ascii="Arial" w:hAnsi="Arial" w:eastAsia="Arial" w:cs="Arial"/>
                <w:color w:val="000000"/>
                <w:position w:val="0"/>
                <w:sz w:val="20"/>
                <w:szCs w:val="20"/>
                <w:shd w:val="clear" w:color="auto" w:fill="FFFFFF"/>
              </w:rPr>
              <w:br/>
              <w:t xml:space="preserve">Hauptplatz 2</w:t>
            </w:r>
            <w:r>
              <w:rPr>
                <w:rFonts w:ascii="Arial" w:hAnsi="Arial" w:eastAsia="Arial" w:cs="Arial"/>
                <w:color w:val="000000"/>
                <w:position w:val="0"/>
                <w:sz w:val="20"/>
                <w:szCs w:val="20"/>
                <w:shd w:val="clear" w:color="auto" w:fill="FFFFFF"/>
              </w:rPr>
              <w:br/>
              <w:t xml:space="preserve">2100 Korneuburg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Sanierungsverwalter: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Dr. Werner Sanierungsverwalter</w:t>
            </w:r>
            <w:r>
              <w:rPr>
                <w:rFonts w:ascii="Arial" w:hAnsi="Arial" w:eastAsia="Arial" w:cs="Arial"/>
                <w:color w:val="000000"/>
                <w:position w:val="0"/>
                <w:sz w:val="20"/>
                <w:szCs w:val="20"/>
                <w:shd w:val="clear" w:color="auto" w:fill="FFFFFF"/>
              </w:rPr>
              <w:br/>
              <w:t xml:space="preserve">Bisambergerstraße 1</w:t>
            </w:r>
            <w:r>
              <w:rPr>
                <w:rFonts w:ascii="Arial" w:hAnsi="Arial" w:eastAsia="Arial" w:cs="Arial"/>
                <w:color w:val="000000"/>
                <w:position w:val="0"/>
                <w:sz w:val="20"/>
                <w:szCs w:val="20"/>
                <w:shd w:val="clear" w:color="auto" w:fill="FFFFFF"/>
              </w:rPr>
              <w:br/>
              <w:t xml:space="preserve">2100 Korneuburg</w:t>
            </w:r>
          </w:p>
        </w:tc>
      </w:tr>
    </w:tbl>
    <w:p>
      <w:pPr>
        <w:widowControl w:val="on"/>
        <w:pBdr/>
        <w:spacing w:before="140" w:after="240" w:line="288" w:lineRule="auto"/>
        <w:ind w:left="0" w:right="0"/>
        <w:jc w:val="right"/>
      </w:pPr>
      <w:r>
        <w:rPr>
          <w:rFonts w:ascii="Arial" w:hAnsi="Arial" w:eastAsia="Arial" w:cs="Arial"/>
          <w:color w:val="000000"/>
          <w:sz w:val="20"/>
          <w:szCs w:val="20"/>
        </w:rPr>
        <w:t xml:space="preserve"> 2 Beilagen</w:t>
      </w:r>
      <w:r>
        <w:rPr>
          <w:rFonts w:ascii="Arial" w:hAnsi="Arial" w:eastAsia="Arial" w:cs="Arial"/>
          <w:color w:val="000000"/>
          <w:sz w:val="20"/>
          <w:szCs w:val="20"/>
        </w:rPr>
        <w:br/>
        <w:t xml:space="preserve">Eine GS wurde den bevorrechteten</w:t>
      </w:r>
      <w:r>
        <w:rPr>
          <w:rFonts w:ascii="Arial" w:hAnsi="Arial" w:eastAsia="Arial" w:cs="Arial"/>
          <w:color w:val="000000"/>
          <w:sz w:val="20"/>
          <w:szCs w:val="20"/>
        </w:rPr>
        <w:br/>
        <w:t xml:space="preserve">Gläubigerschutzverbänden</w:t>
      </w:r>
      <w:r>
        <w:rPr>
          <w:rFonts w:ascii="Arial" w:hAnsi="Arial" w:eastAsia="Arial" w:cs="Arial"/>
          <w:color w:val="000000"/>
          <w:sz w:val="20"/>
          <w:szCs w:val="20"/>
        </w:rPr>
        <w:br/>
        <w:t xml:space="preserve">KSV, AKV, ISA und ÖVC sowie dem</w:t>
      </w:r>
      <w:r>
        <w:rPr>
          <w:rFonts w:ascii="Arial" w:hAnsi="Arial" w:eastAsia="Arial" w:cs="Arial"/>
          <w:color w:val="000000"/>
          <w:sz w:val="20"/>
          <w:szCs w:val="20"/>
        </w:rPr>
        <w:br/>
        <w:t xml:space="preserve">SV samt Beilagen auf direktem Weg übermittelt.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 Antrag auf Entziehung der
Eigenverwaltung</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Gem § 170 Abs 1 IO hat das Insolvenzgericht dem
Schuldner die Eigenverwaltung zu entziehen und einen Masseverwalter
zu bestellen, wenn unter anderem Umstände bekannt sind, die
erwarten lassen, dass die Eigenverwaltung zum Nachteil für die
Gläubiger führt. Dies ist insbesondere dann der Fall, wenn der
Schuldner Verfügungsbeschränkungen oder überhaupt den Interessen
der Gläubiger zuwider handelt.</w:t>
      </w:r>
    </w:p>
    <w:p>
      <w:pPr>
        <w:widowControl w:val="on"/>
        <w:pBdr/>
        <w:spacing w:before="140" w:after="240" w:line="288" w:lineRule="auto"/>
        <w:ind w:left="0" w:right="0"/>
        <w:jc w:val="left"/>
      </w:pPr>
      <w:r>
        <w:rPr>
          <w:rFonts w:ascii="Arial" w:hAnsi="Arial" w:eastAsia="Arial" w:cs="Arial"/>
          <w:color w:val="000000"/>
          <w:sz w:val="20"/>
          <w:szCs w:val="20"/>
        </w:rPr>
        <w:t xml:space="preserve">Mit Beschluss vom 10. Oktober 2010 hat das Landesgericht
Korneuburg als Insolvenzgericht der Schuldnerin auferlegt, vor
Abschluss von Rechtsgeschäften, deren Wert EUR 10.000,–
übersteigen, die Zustimmung des Sanierungsverwalters einzuholen.
Diese Beschränkung wurde gem § 172 Abs 2 IO in der
Insolvenzdatei bekannt gemacht.</w:t>
      </w:r>
    </w:p>
    <w:p>
      <w:pPr>
        <w:widowControl w:val="on"/>
        <w:pBdr/>
        <w:spacing w:before="140" w:after="240" w:line="288" w:lineRule="auto"/>
        <w:ind w:left="0" w:right="0"/>
        <w:jc w:val="left"/>
      </w:pPr>
      <w:r>
        <w:rPr>
          <w:rFonts w:ascii="Arial" w:hAnsi="Arial" w:eastAsia="Arial" w:cs="Arial"/>
          <w:color w:val="000000"/>
          <w:sz w:val="20"/>
          <w:szCs w:val="20"/>
        </w:rPr>
        <w:t xml:space="preserve">Bei Überprüfung der Geschäftsunterlagen der Schuldnerin seit
Eröffnung des Sanierungsverfahrens sind dem Sanierungsverwalter
mehrere Bestellungen der Schuldnerin zur Kenntnis gelangt, deren
Wert den Betrag von EUR 10.000,– jeweils übersteigt und die
die Schuldnerin dem Sanierungsverwalter nicht zur vorherigen
Genehmigung vorgelegt hat. Der Sanierungsverwalter legt diese
Bestellungen als Beilagenkonvolut ./1 vor.</w:t>
      </w:r>
    </w:p>
    <w:p>
      <w:pPr>
        <w:widowControl w:val="on"/>
        <w:pBdr/>
        <w:spacing w:before="140" w:after="240" w:line="288" w:lineRule="auto"/>
        <w:ind w:left="0" w:right="0"/>
        <w:jc w:val="left"/>
      </w:pPr>
      <w:r>
        <w:rPr>
          <w:rFonts w:ascii="Arial" w:hAnsi="Arial" w:eastAsia="Arial" w:cs="Arial"/>
          <w:color w:val="000000"/>
          <w:sz w:val="20"/>
          <w:szCs w:val="20"/>
        </w:rPr>
        <w:t xml:space="preserve">Weiters legt der Sanierungsverwalter exemplarisch eine
Bestellung vor, die zum Zeichen der Genehmigung durch den
Sanierungsverwalter von diesem mit dem Vermerk „genehmigt“
unterschrieben wurde (Beilage ./2).</w:t>
      </w:r>
    </w:p>
    <w:p>
      <w:pPr>
        <w:widowControl w:val="on"/>
        <w:pBdr/>
        <w:spacing w:before="140" w:after="240" w:line="288" w:lineRule="auto"/>
        <w:ind w:left="0" w:right="0"/>
        <w:jc w:val="left"/>
      </w:pPr>
      <w:r>
        <w:rPr>
          <w:rFonts w:ascii="Arial" w:hAnsi="Arial" w:eastAsia="Arial" w:cs="Arial"/>
          <w:color w:val="000000"/>
          <w:sz w:val="20"/>
          <w:szCs w:val="20"/>
        </w:rPr>
        <w:t xml:space="preserve">Die Schuldnerin hat sohin gegen die Verfügungsbeschränkungen
verstoßen und damit den Interessen der Gläubiger zuwider
gehandelt.</w:t>
      </w:r>
    </w:p>
    <w:p>
      <w:pPr>
        <w:widowControl w:val="on"/>
        <w:pBdr/>
        <w:spacing w:before="140" w:after="240" w:line="288" w:lineRule="auto"/>
        <w:ind w:left="0" w:right="0"/>
        <w:jc w:val="left"/>
      </w:pPr>
      <w:r>
        <w:rPr>
          <w:rFonts w:ascii="Arial" w:hAnsi="Arial" w:eastAsia="Arial" w:cs="Arial"/>
          <w:color w:val="000000"/>
          <w:sz w:val="20"/>
          <w:szCs w:val="20"/>
        </w:rPr>
        <w:t xml:space="preserve">Der Sanierungsverwalter stellt daher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Das Landesgericht Korneuburg als Insolvenzgericht möge der
Schuldnerin gem § 170 Abs 1 Z 1 IO die
Eigenverwaltung entziehen, den Sanierungsverwalter zum
Masseverwalter bestellen und den Entzug der Eigenverwaltung in der
Insolvenzdatei bekannt machen.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Dr. Werner Sanierungsverwalter</w:t>
      </w:r>
      <w:r>
        <w:rPr>
          <w:rFonts w:ascii="Arial" w:hAnsi="Arial" w:eastAsia="Arial" w:cs="Arial"/>
          <w:color w:val="000000"/>
          <w:sz w:val="20"/>
          <w:szCs w:val="20"/>
        </w:rPr>
        <w:br/>
        <w:t xml:space="preserve">als Sanierungsverwalter</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678973">
    <w:multiLevelType w:val="hybridMultilevel"/>
    <w:lvl w:ilvl="0" w:tplc="98719759">
      <w:start w:val="1"/>
      <w:numFmt w:val="decimal"/>
      <w:lvlText w:val="%1."/>
      <w:lvlJc w:val="left"/>
      <w:pPr>
        <w:ind w:left="720" w:hanging="360"/>
      </w:pPr>
    </w:lvl>
    <w:lvl w:ilvl="1" w:tplc="98719759" w:tentative="1">
      <w:start w:val="1"/>
      <w:numFmt w:val="lowerLetter"/>
      <w:lvlText w:val="%2."/>
      <w:lvlJc w:val="left"/>
      <w:pPr>
        <w:ind w:left="1440" w:hanging="360"/>
      </w:pPr>
    </w:lvl>
    <w:lvl w:ilvl="2" w:tplc="98719759" w:tentative="1">
      <w:start w:val="1"/>
      <w:numFmt w:val="lowerRoman"/>
      <w:lvlText w:val="%3."/>
      <w:lvlJc w:val="right"/>
      <w:pPr>
        <w:ind w:left="2160" w:hanging="180"/>
      </w:pPr>
    </w:lvl>
    <w:lvl w:ilvl="3" w:tplc="98719759" w:tentative="1">
      <w:start w:val="1"/>
      <w:numFmt w:val="decimal"/>
      <w:lvlText w:val="%4."/>
      <w:lvlJc w:val="left"/>
      <w:pPr>
        <w:ind w:left="2880" w:hanging="360"/>
      </w:pPr>
    </w:lvl>
    <w:lvl w:ilvl="4" w:tplc="98719759" w:tentative="1">
      <w:start w:val="1"/>
      <w:numFmt w:val="lowerLetter"/>
      <w:lvlText w:val="%5."/>
      <w:lvlJc w:val="left"/>
      <w:pPr>
        <w:ind w:left="3600" w:hanging="360"/>
      </w:pPr>
    </w:lvl>
    <w:lvl w:ilvl="5" w:tplc="98719759" w:tentative="1">
      <w:start w:val="1"/>
      <w:numFmt w:val="lowerRoman"/>
      <w:lvlText w:val="%6."/>
      <w:lvlJc w:val="right"/>
      <w:pPr>
        <w:ind w:left="4320" w:hanging="180"/>
      </w:pPr>
    </w:lvl>
    <w:lvl w:ilvl="6" w:tplc="98719759" w:tentative="1">
      <w:start w:val="1"/>
      <w:numFmt w:val="decimal"/>
      <w:lvlText w:val="%7."/>
      <w:lvlJc w:val="left"/>
      <w:pPr>
        <w:ind w:left="5040" w:hanging="360"/>
      </w:pPr>
    </w:lvl>
    <w:lvl w:ilvl="7" w:tplc="98719759" w:tentative="1">
      <w:start w:val="1"/>
      <w:numFmt w:val="lowerLetter"/>
      <w:lvlText w:val="%8."/>
      <w:lvlJc w:val="left"/>
      <w:pPr>
        <w:ind w:left="5760" w:hanging="360"/>
      </w:pPr>
    </w:lvl>
    <w:lvl w:ilvl="8" w:tplc="98719759" w:tentative="1">
      <w:start w:val="1"/>
      <w:numFmt w:val="lowerRoman"/>
      <w:lvlText w:val="%9."/>
      <w:lvlJc w:val="right"/>
      <w:pPr>
        <w:ind w:left="6480" w:hanging="180"/>
      </w:pPr>
    </w:lvl>
  </w:abstractNum>
  <w:abstractNum w:abstractNumId="83678972">
    <w:multiLevelType w:val="hybridMultilevel"/>
    <w:lvl w:ilvl="0" w:tplc="794278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678972">
    <w:abstractNumId w:val="83678972"/>
  </w:num>
  <w:num w:numId="83678973">
    <w:abstractNumId w:val="836789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10000880" Type="http://schemas.openxmlformats.org/officeDocument/2006/relationships/numbering" Target="numbering.xml"/><Relationship Id="rId89518996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