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6430431" w:name="document"/>
    <w:bookmarkEnd w:id="26430431"/>
    <w:p/>
    <w:p>
      <w:pPr>
        <w:widowControl w:val="on"/>
        <w:pBdr/>
        <w:spacing w:before="0" w:after="280" w:line="240" w:lineRule="auto"/>
        <w:ind w:left="0" w:right="0"/>
        <w:jc w:val="left"/>
      </w:pPr>
      <w:r>
        <w:rPr>
          <w:rFonts w:ascii="Arial" w:hAnsi="Arial" w:eastAsia="Arial" w:cs="Arial"/>
          <w:color w:val="363A40"/>
          <w:sz w:val="24"/>
          <w:szCs w:val="24"/>
        </w:rPr>
        <w:t xml:space="preserve">Dokument-ID: 867577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vorläufige Feststellung einer bestrittenen
Forderung</w:t>
      </w:r>
    </w:p>
    <w:p>
      <w:pPr>
        <w:widowControl w:val="on"/>
        <w:pBdr/>
        <w:spacing w:before="140" w:after="240" w:line="288" w:lineRule="auto"/>
        <w:ind w:left="0" w:right="0"/>
        <w:jc w:val="left"/>
      </w:pPr>
      <w:r>
        <w:rPr>
          <w:rFonts w:ascii="Arial" w:hAnsi="Arial" w:eastAsia="Arial" w:cs="Arial"/>
          <w:color w:val="000000"/>
          <w:sz w:val="20"/>
          <w:szCs w:val="20"/>
        </w:rPr>
        <w:t xml:space="preserve">Dr. Leopold Rechtsanwalt</w:t>
      </w:r>
      <w:r>
        <w:rPr>
          <w:rFonts w:ascii="Arial" w:hAnsi="Arial" w:eastAsia="Arial" w:cs="Arial"/>
          <w:color w:val="000000"/>
          <w:sz w:val="20"/>
          <w:szCs w:val="20"/>
        </w:rPr>
        <w:br/>
        <w:t xml:space="preserve">Hauptplatz 36</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Hauptplatz 18</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25. Oktober 2010</w:t>
      </w:r>
    </w:p>
    <w:p>
      <w:pPr>
        <w:widowControl w:val="on"/>
        <w:pBdr/>
        <w:spacing w:before="140" w:after="240" w:line="288" w:lineRule="auto"/>
        <w:ind w:left="0" w:right="0"/>
        <w:jc w:val="left"/>
      </w:pPr>
      <w:r>
        <w:rPr>
          <w:rFonts w:ascii="Arial" w:hAnsi="Arial" w:eastAsia="Arial" w:cs="Arial"/>
          <w:color w:val="000000"/>
          <w:sz w:val="20"/>
          <w:szCs w:val="20"/>
        </w:rPr>
        <w:t xml:space="preserve">GZ 36 S 45/10 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800"/>
        <w:gridCol w:w="2655"/>
      </w:tblGrid>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 Bahnstraße 1</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Friedrich Advokat</w:t>
            </w:r>
            <w:r>
              <w:rPr>
                <w:rFonts w:ascii="Arial" w:hAnsi="Arial" w:eastAsia="Arial" w:cs="Arial"/>
                <w:color w:val="000000"/>
                <w:position w:val="0"/>
                <w:sz w:val="20"/>
                <w:szCs w:val="20"/>
                <w:shd w:val="clear" w:color="auto" w:fill="FFFFFF"/>
              </w:rPr>
              <w:br/>
              <w:t xml:space="preserve"> Hauptplatz 15</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 Bisambergerstraße 1</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Gläubigerin:</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Liefer GmbH</w:t>
            </w:r>
            <w:r>
              <w:rPr>
                <w:rFonts w:ascii="Arial" w:hAnsi="Arial" w:eastAsia="Arial" w:cs="Arial"/>
                <w:color w:val="000000"/>
                <w:position w:val="0"/>
                <w:sz w:val="20"/>
                <w:szCs w:val="20"/>
                <w:shd w:val="clear" w:color="auto" w:fill="FFFFFF"/>
              </w:rPr>
              <w:br/>
              <w:t xml:space="preserve"> Liefergasse 15</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Leopold Rechtsanwalt</w:t>
            </w:r>
            <w:r>
              <w:rPr>
                <w:rFonts w:ascii="Arial" w:hAnsi="Arial" w:eastAsia="Arial" w:cs="Arial"/>
                <w:color w:val="000000"/>
                <w:position w:val="0"/>
                <w:sz w:val="20"/>
                <w:szCs w:val="20"/>
                <w:shd w:val="clear" w:color="auto" w:fill="FFFFFF"/>
              </w:rPr>
              <w:br/>
              <w:t xml:space="preserve"> Hauptplatz 36</w:t>
            </w:r>
            <w:r>
              <w:rPr>
                <w:rFonts w:ascii="Arial" w:hAnsi="Arial" w:eastAsia="Arial" w:cs="Arial"/>
                <w:color w:val="000000"/>
                <w:position w:val="0"/>
                <w:sz w:val="20"/>
                <w:szCs w:val="20"/>
                <w:shd w:val="clear" w:color="auto" w:fill="FFFFFF"/>
              </w:rPr>
              <w:br/>
              <w:t xml:space="preserve"> 2100 Korneuburg</w:t>
            </w:r>
            <w:r>
              <w:rPr>
                <w:rFonts w:ascii="Arial" w:hAnsi="Arial" w:eastAsia="Arial" w:cs="Arial"/>
                <w:color w:val="000000"/>
                <w:position w:val="0"/>
                <w:sz w:val="20"/>
                <w:szCs w:val="20"/>
                <w:shd w:val="clear" w:color="auto" w:fill="FFFFFF"/>
              </w:rPr>
              <w:br/>
              <w:t xml:space="preserve"> (Vollmacht erteilt)</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14.523,46</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vorläufige Feststellung
einer bestrittenen Forderung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der Prüfungstagsatzung am 25. September 2010 hat der
Masseverwalter die von der Gläubigerin zu ON 15 angemeldete
Forderung in Höhe von EUR 14.523,46 zur Gänze bestritten. Als
Bestreitungsgrund hat der Masseverwalter Mangelhaftigkeit der von
der Gläubigerin gelieferten Maschine behauptet.</w:t>
      </w:r>
    </w:p>
    <w:p>
      <w:pPr>
        <w:widowControl w:val="on"/>
        <w:pBdr/>
        <w:spacing w:before="140" w:after="240" w:line="288" w:lineRule="auto"/>
        <w:ind w:left="0" w:right="0"/>
        <w:jc w:val="left"/>
      </w:pPr>
      <w:r>
        <w:rPr>
          <w:rFonts w:ascii="Arial" w:hAnsi="Arial" w:eastAsia="Arial" w:cs="Arial"/>
          <w:color w:val="000000"/>
          <w:sz w:val="20"/>
          <w:szCs w:val="20"/>
        </w:rPr>
        <w:t xml:space="preserve">Die Gläubigerin hat die von ihr hergestellte Maschine unter
Eigentumsvorbehalt geliefert, der bislang vom Masseverwalter (noch)
nicht anerkannt worden ist. Die Gläubigerin hat ihren nicht durch
das Aussonderungsrecht gedeckten Ausfall mit EUR 5.609,17
geschätzt.</w:t>
      </w:r>
    </w:p>
    <w:p>
      <w:pPr>
        <w:widowControl w:val="on"/>
        <w:pBdr/>
        <w:spacing w:before="140" w:after="240" w:line="288" w:lineRule="auto"/>
        <w:ind w:left="0" w:right="0"/>
        <w:jc w:val="left"/>
      </w:pPr>
      <w:r>
        <w:rPr>
          <w:rFonts w:ascii="Arial" w:hAnsi="Arial" w:eastAsia="Arial" w:cs="Arial"/>
          <w:color w:val="000000"/>
          <w:sz w:val="20"/>
          <w:szCs w:val="20"/>
        </w:rPr>
        <w:t xml:space="preserve">Die Gläubigerin stellt daher durch ihren ausgewiesenen
Rechtsvertreter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vorläufige Feststellung der Forderung gem § 149
Abs 1 IO mit EUR 5.609,17 und auf Gewährung des
Stimmrechts für die so festgestellte Forderung.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Liefer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Abschluss eines Sanierungsplans führt nur zur Herabsetzung
der persönlichen Schuld des Schuldners, nicht aber zu einer
Herabsetzung der Sachhaftung (OGH 28.6.1990, ecolex 1990, 608).
Auch bewirkt die Annahme der Sanierungsplanquote nicht das
Erlöschen des Aussonderungsanspruchs. Gem § 149 Abs 1 IO
nehmen Gläubiger, deren Forderungen durch Aussonderungsrechte zum
Teil gedeckt sind, mit dem Ausfall am Sanierungsplanverfahren teil;
solange der Ausfall noch nicht endgültig feststeht, sind sie bei
der Sanierungsplanerfüllung mit dem mutmaßlichen Ausfall zu
berücksichtigen.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71509">
    <w:multiLevelType w:val="hybridMultilevel"/>
    <w:lvl w:ilvl="0" w:tplc="32950120">
      <w:start w:val="1"/>
      <w:numFmt w:val="decimal"/>
      <w:lvlText w:val="%1."/>
      <w:lvlJc w:val="left"/>
      <w:pPr>
        <w:ind w:left="720" w:hanging="360"/>
      </w:pPr>
    </w:lvl>
    <w:lvl w:ilvl="1" w:tplc="32950120" w:tentative="1">
      <w:start w:val="1"/>
      <w:numFmt w:val="lowerLetter"/>
      <w:lvlText w:val="%2."/>
      <w:lvlJc w:val="left"/>
      <w:pPr>
        <w:ind w:left="1440" w:hanging="360"/>
      </w:pPr>
    </w:lvl>
    <w:lvl w:ilvl="2" w:tplc="32950120" w:tentative="1">
      <w:start w:val="1"/>
      <w:numFmt w:val="lowerRoman"/>
      <w:lvlText w:val="%3."/>
      <w:lvlJc w:val="right"/>
      <w:pPr>
        <w:ind w:left="2160" w:hanging="180"/>
      </w:pPr>
    </w:lvl>
    <w:lvl w:ilvl="3" w:tplc="32950120" w:tentative="1">
      <w:start w:val="1"/>
      <w:numFmt w:val="decimal"/>
      <w:lvlText w:val="%4."/>
      <w:lvlJc w:val="left"/>
      <w:pPr>
        <w:ind w:left="2880" w:hanging="360"/>
      </w:pPr>
    </w:lvl>
    <w:lvl w:ilvl="4" w:tplc="32950120" w:tentative="1">
      <w:start w:val="1"/>
      <w:numFmt w:val="lowerLetter"/>
      <w:lvlText w:val="%5."/>
      <w:lvlJc w:val="left"/>
      <w:pPr>
        <w:ind w:left="3600" w:hanging="360"/>
      </w:pPr>
    </w:lvl>
    <w:lvl w:ilvl="5" w:tplc="32950120" w:tentative="1">
      <w:start w:val="1"/>
      <w:numFmt w:val="lowerRoman"/>
      <w:lvlText w:val="%6."/>
      <w:lvlJc w:val="right"/>
      <w:pPr>
        <w:ind w:left="4320" w:hanging="180"/>
      </w:pPr>
    </w:lvl>
    <w:lvl w:ilvl="6" w:tplc="32950120" w:tentative="1">
      <w:start w:val="1"/>
      <w:numFmt w:val="decimal"/>
      <w:lvlText w:val="%7."/>
      <w:lvlJc w:val="left"/>
      <w:pPr>
        <w:ind w:left="5040" w:hanging="360"/>
      </w:pPr>
    </w:lvl>
    <w:lvl w:ilvl="7" w:tplc="32950120" w:tentative="1">
      <w:start w:val="1"/>
      <w:numFmt w:val="lowerLetter"/>
      <w:lvlText w:val="%8."/>
      <w:lvlJc w:val="left"/>
      <w:pPr>
        <w:ind w:left="5760" w:hanging="360"/>
      </w:pPr>
    </w:lvl>
    <w:lvl w:ilvl="8" w:tplc="32950120" w:tentative="1">
      <w:start w:val="1"/>
      <w:numFmt w:val="lowerRoman"/>
      <w:lvlText w:val="%9."/>
      <w:lvlJc w:val="right"/>
      <w:pPr>
        <w:ind w:left="6480" w:hanging="180"/>
      </w:pPr>
    </w:lvl>
  </w:abstractNum>
  <w:abstractNum w:abstractNumId="23371508">
    <w:multiLevelType w:val="hybridMultilevel"/>
    <w:lvl w:ilvl="0" w:tplc="63525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71508">
    <w:abstractNumId w:val="23371508"/>
  </w:num>
  <w:num w:numId="23371509">
    <w:abstractNumId w:val="23371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1039499" Type="http://schemas.openxmlformats.org/officeDocument/2006/relationships/numbering" Target="numbering.xml"/><Relationship Id="rId90123798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