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3089993" w:name="document"/>
    <w:bookmarkEnd w:id="53089993"/>
    <w:p/>
    <w:p>
      <w:pPr>
        <w:widowControl w:val="on"/>
        <w:pBdr/>
        <w:spacing w:before="0" w:after="280" w:line="240" w:lineRule="auto"/>
        <w:ind w:left="0" w:right="0"/>
        <w:jc w:val="left"/>
      </w:pPr>
      <w:r>
        <w:rPr>
          <w:rFonts w:ascii="Arial" w:hAnsi="Arial" w:eastAsia="Arial" w:cs="Arial"/>
          <w:color w:val="363A40"/>
          <w:sz w:val="24"/>
          <w:szCs w:val="24"/>
        </w:rPr>
        <w:t xml:space="preserve">Dokument-ID: 1130015 | Eva Jana Messerschmidt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Beschwerde gegen die Verhängung einer Verwaltungsstrafe nach §
28 AuslBG</w:t>
      </w:r>
    </w:p>
    <w:p>
      <w:pPr>
        <w:widowControl w:val="on"/>
        <w:pBdr/>
        <w:spacing w:before="140" w:after="240" w:line="288" w:lineRule="auto"/>
        <w:ind w:left="0" w:right="0"/>
        <w:jc w:val="left"/>
      </w:pPr>
      <w:r>
        <w:rPr>
          <w:rFonts w:ascii="Arial" w:hAnsi="Arial" w:eastAsia="Arial" w:cs="Arial"/>
          <w:color w:val="000000"/>
          <w:sz w:val="20"/>
          <w:szCs w:val="20"/>
        </w:rPr>
        <w:t xml:space="preserve">An die</w:t>
      </w:r>
      <w:r>
        <w:rPr>
          <w:rFonts w:ascii="Arial" w:hAnsi="Arial" w:eastAsia="Arial" w:cs="Arial"/>
          <w:color w:val="000000"/>
          <w:sz w:val="20"/>
          <w:szCs w:val="20"/>
        </w:rPr>
        <w:br/>
        <w:t xml:space="preserve">Bezirksverwaltungsbehörde</w:t>
      </w:r>
      <w:bookmarkStart w:id="47306880" w:name="link1"/>
      <w:bookmarkEnd w:id="47306880"/>
      <w:hyperlink w:anchor="note1" w:history="1">
        <w:r>
          <w:rPr>
            <w:rFonts w:ascii="Arial" w:hAnsi="Arial" w:eastAsia="Arial" w:cs="Arial"/>
            <w:b/>
            <w:bCs/>
            <w:color w:val="006BB6"/>
            <w:position w:val="4"/>
            <w:sz w:val="22"/>
            <w:szCs w:val="22"/>
            <w:vertAlign w:val="superscript"/>
          </w:rPr>
          <w:t xml:space="preserve">1</w:t>
        </w:r>
      </w:hyperlink>
      <w:r>
        <w:rPr>
          <w:rFonts w:ascii="Arial" w:hAnsi="Arial" w:eastAsia="Arial" w:cs="Arial"/>
          <w:color w:val="000000"/>
          <w:sz w:val="20"/>
          <w:szCs w:val="20"/>
        </w:rPr>
        <w:br/>
        <w:t xml:space="preserve">…</w:t>
      </w:r>
    </w:p>
    <w:p>
      <w:pPr>
        <w:widowControl w:val="on"/>
        <w:pBdr/>
        <w:spacing w:before="140" w:after="240" w:line="288" w:lineRule="auto"/>
        <w:ind w:left="0" w:right="0"/>
        <w:jc w:val="right"/>
      </w:pPr>
      <w:r>
        <w:rPr>
          <w:rFonts w:ascii="Arial" w:hAnsi="Arial" w:eastAsia="Arial" w:cs="Arial"/>
          <w:color w:val="000000"/>
          <w:sz w:val="20"/>
          <w:szCs w:val="20"/>
        </w:rPr>
        <w:t xml:space="preserve">Wien, am….</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 zu GZ:</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Beschwerdeführer:</w:t>
            </w:r>
            <w:bookmarkStart w:id="80761728" w:name="link2"/>
            <w:bookmarkEnd w:id="80761728"/>
            <w:hyperlink w:anchor="note2" w:history="1">
              <w:r>
                <w:rPr>
                  <w:rFonts w:ascii="Arial" w:hAnsi="Arial" w:eastAsia="Arial" w:cs="Arial"/>
                  <w:b/>
                  <w:bCs/>
                  <w:color w:val="006BB6"/>
                  <w:position w:val="4"/>
                  <w:sz w:val="22"/>
                  <w:szCs w:val="22"/>
                  <w:shd w:val="clear" w:color="auto" w:fill="FFFFFF"/>
                  <w:vertAlign w:val="superscript"/>
                </w:rPr>
                <w:t xml:space="preserve">2</w:t>
              </w:r>
            </w:hyperlink>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w:t>
            </w:r>
            <w:r>
              <w:rPr>
                <w:rFonts w:ascii="Arial" w:hAnsi="Arial" w:eastAsia="Arial" w:cs="Arial"/>
                <w:color w:val="000000"/>
                <w:position w:val="0"/>
                <w:sz w:val="20"/>
                <w:szCs w:val="20"/>
                <w:shd w:val="clear" w:color="auto" w:fill="FFFFFF"/>
              </w:rPr>
              <w:t xml:space="preserve">durch:</w:t>
            </w:r>
            <w:bookmarkStart w:id="37772912" w:name="link3"/>
            <w:bookmarkEnd w:id="37772912"/>
            <w:hyperlink w:anchor="note3" w:history="1">
              <w:r>
                <w:rPr>
                  <w:rFonts w:ascii="Arial" w:hAnsi="Arial" w:eastAsia="Arial" w:cs="Arial"/>
                  <w:b/>
                  <w:bCs/>
                  <w:color w:val="006BB6"/>
                  <w:position w:val="4"/>
                  <w:sz w:val="22"/>
                  <w:szCs w:val="22"/>
                  <w:shd w:val="clear" w:color="auto" w:fill="FFFFFF"/>
                  <w:vertAlign w:val="superscript"/>
                </w:rPr>
                <w:t xml:space="preserve">3</w:t>
              </w:r>
            </w:hyperlink>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(Vollmacht erteilt)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Belangte </w:t>
            </w:r>
            <w:r>
              <w:rPr>
                <w:rFonts w:ascii="Arial" w:hAnsi="Arial" w:eastAsia="Arial" w:cs="Arial"/>
                <w:color w:val="000000"/>
                <w:position w:val="0"/>
                <w:sz w:val="20"/>
                <w:szCs w:val="20"/>
                <w:shd w:val="clear" w:color="auto" w:fill="FFFFFF"/>
              </w:rPr>
              <w:t xml:space="preserve">Behörde:</w:t>
            </w:r>
            <w:bookmarkStart w:id="69875814" w:name="link4"/>
            <w:bookmarkEnd w:id="69875814"/>
            <w:hyperlink w:anchor="note4" w:history="1">
              <w:r>
                <w:rPr>
                  <w:rFonts w:ascii="Arial" w:hAnsi="Arial" w:eastAsia="Arial" w:cs="Arial"/>
                  <w:b/>
                  <w:bCs/>
                  <w:color w:val="006BB6"/>
                  <w:position w:val="4"/>
                  <w:sz w:val="22"/>
                  <w:szCs w:val="22"/>
                  <w:shd w:val="clear" w:color="auto" w:fill="FFFFFF"/>
                  <w:vertAlign w:val="superscript"/>
                </w:rPr>
                <w:t xml:space="preserve">4</w:t>
              </w:r>
            </w:hyperlink>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Angefochtener </w:t>
            </w:r>
            <w:r>
              <w:rPr>
                <w:rFonts w:ascii="Arial" w:hAnsi="Arial" w:eastAsia="Arial" w:cs="Arial"/>
                <w:color w:val="000000"/>
                <w:position w:val="0"/>
                <w:sz w:val="20"/>
                <w:szCs w:val="20"/>
                <w:shd w:val="clear" w:color="auto" w:fill="FFFFFF"/>
              </w:rPr>
              <w:t xml:space="preserve">Rechtsakt:</w:t>
            </w:r>
            <w:bookmarkStart w:id="64110824" w:name="link5"/>
            <w:bookmarkEnd w:id="64110824"/>
            <w:hyperlink w:anchor="note5" w:history="1">
              <w:r>
                <w:rPr>
                  <w:rFonts w:ascii="Arial" w:hAnsi="Arial" w:eastAsia="Arial" w:cs="Arial"/>
                  <w:b/>
                  <w:bCs/>
                  <w:color w:val="006BB6"/>
                  <w:position w:val="4"/>
                  <w:sz w:val="22"/>
                  <w:szCs w:val="22"/>
                  <w:shd w:val="clear" w:color="auto" w:fill="FFFFFF"/>
                  <w:vertAlign w:val="superscript"/>
                </w:rPr>
                <w:t xml:space="preserve">5</w:t>
              </w:r>
            </w:hyperlink>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Bescheid vom … zu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Straferkenntnis wegen Übertretung des § 28 AuslBG</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Beschwerde gem Art 130
Abs 1 Z 1 und Art 132 Abs 1 Z 1 B-VG</w:t>
      </w:r>
    </w:p>
    <w:p>
      <w:pPr>
        <w:widowControl w:val="on"/>
        <w:pBdr/>
        <w:spacing w:before="140" w:after="240" w:line="288" w:lineRule="auto"/>
        <w:ind w:left="0" w:right="0"/>
        <w:jc w:val="right"/>
      </w:pPr>
      <w:r>
        <w:rPr>
          <w:rFonts w:ascii="Arial" w:hAnsi="Arial" w:eastAsia="Arial" w:cs="Arial"/>
          <w:color w:val="000000"/>
          <w:sz w:val="20"/>
          <w:szCs w:val="20"/>
        </w:rPr>
        <w:t xml:space="preserve">1-</w:t>
      </w:r>
      <w:r>
        <w:rPr>
          <w:rFonts w:ascii="Arial" w:hAnsi="Arial" w:eastAsia="Arial" w:cs="Arial"/>
          <w:color w:val="000000"/>
          <w:sz w:val="20"/>
          <w:szCs w:val="20"/>
        </w:rPr>
        <w:t xml:space="preserve">fach</w:t>
      </w:r>
      <w:bookmarkStart w:id="49242664" w:name="link6"/>
      <w:bookmarkEnd w:id="49242664"/>
      <w:hyperlink w:anchor="note6" w:history="1">
        <w:r>
          <w:rPr>
            <w:rFonts w:ascii="Arial" w:hAnsi="Arial" w:eastAsia="Arial" w:cs="Arial"/>
            <w:b/>
            <w:bCs/>
            <w:color w:val="006BB6"/>
            <w:position w:val="4"/>
            <w:sz w:val="22"/>
            <w:szCs w:val="22"/>
            <w:vertAlign w:val="superscript"/>
          </w:rPr>
          <w:t xml:space="preserve">6</w:t>
        </w:r>
      </w:hyperlink>
      <w:r>
        <w:rPr>
          <w:rFonts w:ascii="Arial" w:hAnsi="Arial" w:eastAsia="Arial" w:cs="Arial"/>
          <w:color w:val="000000"/>
          <w:sz w:val="20"/>
          <w:szCs w:val="20"/>
        </w:rPr>
        <w:br/>
        <w:t xml:space="preserve">XY </w:t>
      </w:r>
      <w:r>
        <w:rPr>
          <w:rFonts w:ascii="Arial" w:hAnsi="Arial" w:eastAsia="Arial" w:cs="Arial"/>
          <w:color w:val="000000"/>
          <w:sz w:val="20"/>
          <w:szCs w:val="20"/>
        </w:rPr>
        <w:t xml:space="preserve">Beilagen</w:t>
      </w:r>
      <w:bookmarkStart w:id="26079371" w:name="link7"/>
      <w:bookmarkEnd w:id="26079371"/>
      <w:hyperlink w:anchor="note7" w:history="1">
        <w:r>
          <w:rPr>
            <w:rFonts w:ascii="Arial" w:hAnsi="Arial" w:eastAsia="Arial" w:cs="Arial"/>
            <w:b/>
            <w:bCs/>
            <w:color w:val="006BB6"/>
            <w:position w:val="4"/>
            <w:sz w:val="22"/>
            <w:szCs w:val="22"/>
            <w:vertAlign w:val="superscript"/>
          </w:rPr>
          <w:t xml:space="preserve">7</w:t>
        </w:r>
      </w:hyperlink>
    </w:p>
    <w:p>
      <w:pPr>
        <w:widowControl w:val="on"/>
        <w:pBdr/>
        <w:spacing w:before="140" w:after="240" w:line="288" w:lineRule="auto"/>
        <w:ind w:left="0" w:right="0"/>
        <w:jc w:val="left"/>
      </w:pPr>
      <w:r>
        <w:rPr>
          <w:rFonts w:ascii="Arial" w:hAnsi="Arial" w:eastAsia="Arial" w:cs="Arial"/>
          <w:color w:val="000000"/>
          <w:sz w:val="20"/>
          <w:szCs w:val="20"/>
        </w:rPr>
        <w:t xml:space="preserve">Gegen den Bescheid des … vom …. zu … erhebt der Beschwerdeführer
binnen offener Frist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Beschwerde</w:t>
      </w:r>
    </w:p>
    <w:p>
      <w:pPr>
        <w:widowControl w:val="on"/>
        <w:pBdr/>
        <w:spacing w:before="140" w:after="240" w:line="288" w:lineRule="auto"/>
        <w:ind w:left="0" w:right="0"/>
        <w:jc w:val="left"/>
      </w:pPr>
      <w:r>
        <w:rPr>
          <w:rFonts w:ascii="Arial" w:hAnsi="Arial" w:eastAsia="Arial" w:cs="Arial"/>
          <w:color w:val="000000"/>
          <w:sz w:val="20"/>
          <w:szCs w:val="20"/>
        </w:rPr>
        <w:t xml:space="preserve">wegen inhaltlicher Rechtswidrigkeit infolge unrichtiger
rechtlicher Beurteilung sowie der Verletzung von
Verfahrensvorschriften, bei deren Einhaltung ein für den
Beschwerdeführer günstigerer Bescheid erzielt worden wäre und
begründet diese wie folgt: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1. Zur Zulässigkeit der Beschwerde</w:t>
      </w:r>
    </w:p>
    <w:p>
      <w:pPr>
        <w:numPr>
          <w:ilvl w:val="0"/>
          <w:numId w:val="9979032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Zur Zuständigkeit des Verwaltungsgerichts (in der Folge kurz:
VwG). Gem Art 130 Abs 1 </w:t>
      </w:r>
      <w:r>
        <w:rPr>
          <w:rFonts w:ascii="Arial" w:hAnsi="Arial" w:eastAsia="Arial" w:cs="Arial"/>
          <w:color w:val="000000"/>
          <w:sz w:val="20"/>
          <w:szCs w:val="20"/>
        </w:rPr>
        <w:t xml:space="preserve">B-VG</w:t>
      </w:r>
      <w:bookmarkStart w:id="62758154" w:name="link8"/>
      <w:bookmarkEnd w:id="62758154"/>
      <w:hyperlink w:anchor="note8" w:history="1">
        <w:r>
          <w:rPr>
            <w:rFonts w:ascii="Arial" w:hAnsi="Arial" w:eastAsia="Arial" w:cs="Arial"/>
            <w:b/>
            <w:bCs/>
            <w:color w:val="006BB6"/>
            <w:position w:val="4"/>
            <w:sz w:val="22"/>
            <w:szCs w:val="22"/>
            <w:vertAlign w:val="superscript"/>
          </w:rPr>
          <w:t xml:space="preserve">8</w:t>
        </w:r>
      </w:hyperlink>
      <w:r>
        <w:rPr>
          <w:rFonts w:ascii="Arial" w:hAnsi="Arial" w:eastAsia="Arial" w:cs="Arial"/>
          <w:color w:val="000000"/>
          <w:sz w:val="20"/>
          <w:szCs w:val="20"/>
        </w:rPr>
        <w:t xml:space="preserve"> erkennen die
Verwaltungsgerichte über Beschwerden ua gegen den Bescheid einer
Verwaltungsbehörde wegen Rechtswidrigkeit.</w:t>
      </w:r>
    </w:p>
    <w:p>
      <w:pPr>
        <w:numPr>
          <w:ilvl w:val="0"/>
          <w:numId w:val="9979032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Entsprechende Ausführungen zur Rechtzeitigkeit der Beschwerde
nach § 9 Abs 1 Z 5 VwGVG </w:t>
      </w:r>
      <w:r>
        <w:rPr>
          <w:rFonts w:ascii="Arial" w:hAnsi="Arial" w:eastAsia="Arial" w:cs="Arial"/>
          <w:color w:val="000000"/>
          <w:sz w:val="20"/>
          <w:szCs w:val="20"/>
        </w:rPr>
        <w:t xml:space="preserve">erforderlich.</w:t>
      </w:r>
      <w:bookmarkStart w:id="18466714" w:name="link9"/>
      <w:bookmarkEnd w:id="18466714"/>
      <w:hyperlink w:anchor="note9" w:history="1">
        <w:r>
          <w:rPr>
            <w:rFonts w:ascii="Arial" w:hAnsi="Arial" w:eastAsia="Arial" w:cs="Arial"/>
            <w:b/>
            <w:bCs/>
            <w:color w:val="006BB6"/>
            <w:position w:val="4"/>
            <w:sz w:val="22"/>
            <w:szCs w:val="22"/>
            <w:vertAlign w:val="superscript"/>
          </w:rPr>
          <w:t xml:space="preserve">9</w:t>
        </w:r>
      </w:hyperlink>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Sachverhalt und </w:t>
      </w:r>
      <w:r>
        <w:rPr>
          <w:rFonts w:ascii="Arial" w:hAnsi="Arial" w:eastAsia="Arial" w:cs="Arial"/>
          <w:b/>
          <w:bCs/>
          <w:color w:val="363A40"/>
          <w:sz w:val="28"/>
          <w:szCs w:val="28"/>
        </w:rPr>
        <w:t xml:space="preserve">Verfahrensgang</w:t>
      </w:r>
      <w:bookmarkStart w:id="24661664" w:name="link10"/>
      <w:bookmarkEnd w:id="24661664"/>
      <w:hyperlink w:anchor="note10" w:history="1">
        <w:r>
          <w:rPr>
            <w:rFonts w:ascii="Arial" w:hAnsi="Arial" w:eastAsia="Arial" w:cs="Arial"/>
            <w:b/>
            <w:bCs/>
            <w:color w:val="006BB6"/>
            <w:position w:val="6"/>
            <w:sz w:val="31"/>
            <w:szCs w:val="31"/>
            <w:vertAlign w:val="superscript"/>
          </w:rPr>
          <w:t xml:space="preserve">10</w:t>
        </w:r>
      </w:hyperlink>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Beschwerdepunkte</w:t>
      </w:r>
    </w:p>
    <w:p>
      <w:pPr>
        <w:numPr>
          <w:ilvl w:val="0"/>
          <w:numId w:val="6055606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Beschwerdeführer erachtet sich durch den hier bekämpften
Bescheid in seinem subjektiven, einfach gesetzlich gewährleisteten
Recht auf Nichtverhängung einer Verwaltungsstrafe, jedenfalls nicht
in der festgesetzten Höhe, sowie in seinem Recht auf Durchführung
eines mängelfreien Verfahrens verletzt.</w:t>
      </w:r>
    </w:p>
    <w:p>
      <w:pPr>
        <w:numPr>
          <w:ilvl w:val="0"/>
          <w:numId w:val="6055606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Bescheid der belangten Behörde wird somit seinem gesamten
Umfang nach wegen Rechtswidrigkeit infolge Verletzung von
Verfahrensvorschriften, bei deren Einhaltung die Behörde zu einem
anders lautenden Bescheid hätte kommen können, sowie wegen
Rechtswidrigkeit des Inhaltes angefochten.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4. </w:t>
      </w:r>
      <w:r>
        <w:rPr>
          <w:rFonts w:ascii="Arial" w:hAnsi="Arial" w:eastAsia="Arial" w:cs="Arial"/>
          <w:b/>
          <w:bCs/>
          <w:color w:val="363A40"/>
          <w:sz w:val="28"/>
          <w:szCs w:val="28"/>
        </w:rPr>
        <w:t xml:space="preserve">Beschwerdegründe</w:t>
      </w:r>
      <w:bookmarkStart w:id="81291210" w:name="link11"/>
      <w:bookmarkEnd w:id="81291210"/>
      <w:hyperlink w:anchor="note11" w:history="1">
        <w:r>
          <w:rPr>
            <w:rFonts w:ascii="Arial" w:hAnsi="Arial" w:eastAsia="Arial" w:cs="Arial"/>
            <w:b/>
            <w:bCs/>
            <w:color w:val="006BB6"/>
            <w:position w:val="6"/>
            <w:sz w:val="31"/>
            <w:szCs w:val="31"/>
            <w:vertAlign w:val="superscript"/>
          </w:rPr>
          <w:t xml:space="preserve">11</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4.1 Rechtswidrigkeit infolge Verletzung von
Verfahrensvorschriften</w:t>
      </w:r>
    </w:p>
    <w:p>
      <w:pPr>
        <w:widowControl w:val="on"/>
        <w:pBdr/>
        <w:spacing w:before="140" w:after="240" w:line="288" w:lineRule="auto"/>
        <w:ind w:left="0" w:right="0"/>
        <w:jc w:val="left"/>
      </w:pPr>
      <w:r>
        <w:rPr>
          <w:rFonts w:ascii="Arial" w:hAnsi="Arial" w:eastAsia="Arial" w:cs="Arial"/>
          <w:b/>
          <w:bCs/>
          <w:color w:val="000000"/>
          <w:sz w:val="20"/>
          <w:szCs w:val="20"/>
        </w:rPr>
        <w:t xml:space="preserve">4.1.1 Verletzung der amtswegigen Ermittlungspflicht, des
Rechts auf Parteiengehör und Überraschungsverbot</w:t>
      </w:r>
    </w:p>
    <w:p>
      <w:pPr>
        <w:numPr>
          <w:ilvl w:val="0"/>
          <w:numId w:val="4733243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zuständige Behörde hat die Verpflichtung, von Amts wegen
den maßgebenden Sachverhalt zu </w:t>
      </w:r>
      <w:r>
        <w:rPr>
          <w:rFonts w:ascii="Arial" w:hAnsi="Arial" w:eastAsia="Arial" w:cs="Arial"/>
          <w:color w:val="000000"/>
          <w:sz w:val="20"/>
          <w:szCs w:val="20"/>
        </w:rPr>
        <w:t xml:space="preserve">ermitteln.</w:t>
      </w:r>
      <w:bookmarkStart w:id="46082046" w:name="link12"/>
      <w:bookmarkEnd w:id="46082046"/>
      <w:hyperlink w:anchor="note12" w:history="1">
        <w:r>
          <w:rPr>
            <w:rFonts w:ascii="Arial" w:hAnsi="Arial" w:eastAsia="Arial" w:cs="Arial"/>
            <w:b/>
            <w:bCs/>
            <w:color w:val="006BB6"/>
            <w:position w:val="4"/>
            <w:sz w:val="22"/>
            <w:szCs w:val="22"/>
            <w:vertAlign w:val="superscript"/>
          </w:rPr>
          <w:t xml:space="preserve">12</w:t>
        </w:r>
      </w:hyperlink>
    </w:p>
    <w:p>
      <w:pPr>
        <w:numPr>
          <w:ilvl w:val="0"/>
          <w:numId w:val="4733243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Verletzung des Rechts auf </w:t>
      </w:r>
      <w:r>
        <w:rPr>
          <w:rFonts w:ascii="Arial" w:hAnsi="Arial" w:eastAsia="Arial" w:cs="Arial"/>
          <w:color w:val="000000"/>
          <w:sz w:val="20"/>
          <w:szCs w:val="20"/>
        </w:rPr>
        <w:t xml:space="preserve">Parteiengehör</w:t>
      </w:r>
      <w:bookmarkStart w:id="82979584" w:name="link13"/>
      <w:bookmarkEnd w:id="82979584"/>
      <w:hyperlink w:anchor="note13" w:history="1">
        <w:r>
          <w:rPr>
            <w:rFonts w:ascii="Arial" w:hAnsi="Arial" w:eastAsia="Arial" w:cs="Arial"/>
            <w:b/>
            <w:bCs/>
            <w:color w:val="006BB6"/>
            <w:position w:val="4"/>
            <w:sz w:val="22"/>
            <w:szCs w:val="22"/>
            <w:vertAlign w:val="superscript"/>
          </w:rPr>
          <w:t xml:space="preserve">13</w:t>
        </w:r>
      </w:hyperlink>
    </w:p>
    <w:p>
      <w:pPr>
        <w:numPr>
          <w:ilvl w:val="0"/>
          <w:numId w:val="4733243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Verstoß gegen das </w:t>
      </w:r>
      <w:r>
        <w:rPr>
          <w:rFonts w:ascii="Arial" w:hAnsi="Arial" w:eastAsia="Arial" w:cs="Arial"/>
          <w:color w:val="000000"/>
          <w:sz w:val="20"/>
          <w:szCs w:val="20"/>
        </w:rPr>
        <w:t xml:space="preserve">Überraschungsverbot.</w:t>
      </w:r>
      <w:bookmarkStart w:id="20591145" w:name="link14"/>
      <w:bookmarkEnd w:id="20591145"/>
      <w:hyperlink w:anchor="note14" w:history="1">
        <w:r>
          <w:rPr>
            <w:rFonts w:ascii="Arial" w:hAnsi="Arial" w:eastAsia="Arial" w:cs="Arial"/>
            <w:b/>
            <w:bCs/>
            <w:color w:val="006BB6"/>
            <w:position w:val="4"/>
            <w:sz w:val="22"/>
            <w:szCs w:val="22"/>
            <w:vertAlign w:val="superscript"/>
          </w:rPr>
          <w:t xml:space="preserve">14</w:t>
        </w:r>
      </w:hyperlink>
    </w:p>
    <w:p>
      <w:pPr>
        <w:widowControl w:val="on"/>
        <w:pBdr/>
        <w:spacing w:before="140" w:after="240" w:line="288" w:lineRule="auto"/>
        <w:ind w:left="0" w:right="0"/>
        <w:jc w:val="left"/>
      </w:pPr>
      <w:r>
        <w:rPr>
          <w:rFonts w:ascii="Arial" w:hAnsi="Arial" w:eastAsia="Arial" w:cs="Arial"/>
          <w:b/>
          <w:bCs/>
          <w:color w:val="000000"/>
          <w:sz w:val="20"/>
          <w:szCs w:val="20"/>
        </w:rPr>
        <w:t xml:space="preserve">4.1.2 Verstoß gegen die Manuduktionspflicht</w:t>
      </w:r>
    </w:p>
    <w:p>
      <w:pPr>
        <w:numPr>
          <w:ilvl w:val="0"/>
          <w:numId w:val="71132120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der Rechtsprechung des VwGH bezieht sich die so
genannte Manuduktionspflicht der Behörde nach § 13a
AVG auf die zur Vornahme von Verfahrenshandlungen nötigen
Anleitungen und auf die Belehrung über die mit diesen Handlungen
oder Unterlassungen unmittelbar verbundenen </w:t>
      </w:r>
      <w:r>
        <w:rPr>
          <w:rFonts w:ascii="Arial" w:hAnsi="Arial" w:eastAsia="Arial" w:cs="Arial"/>
          <w:color w:val="000000"/>
          <w:sz w:val="20"/>
          <w:szCs w:val="20"/>
        </w:rPr>
        <w:t xml:space="preserve">Rechtsfolgen.</w:t>
      </w:r>
      <w:bookmarkStart w:id="29978076" w:name="link15"/>
      <w:bookmarkEnd w:id="29978076"/>
      <w:hyperlink w:anchor="note15" w:history="1">
        <w:r>
          <w:rPr>
            <w:rFonts w:ascii="Arial" w:hAnsi="Arial" w:eastAsia="Arial" w:cs="Arial"/>
            <w:b/>
            <w:bCs/>
            <w:color w:val="006BB6"/>
            <w:position w:val="4"/>
            <w:sz w:val="22"/>
            <w:szCs w:val="22"/>
            <w:vertAlign w:val="superscript"/>
          </w:rPr>
          <w:t xml:space="preserve">15</w:t>
        </w:r>
      </w:hyperlink>
    </w:p>
    <w:p>
      <w:pPr>
        <w:widowControl w:val="on"/>
        <w:pBdr/>
        <w:spacing w:before="140" w:after="240" w:line="288" w:lineRule="auto"/>
        <w:ind w:left="0" w:right="0"/>
        <w:jc w:val="left"/>
      </w:pPr>
      <w:r>
        <w:rPr>
          <w:rFonts w:ascii="Arial" w:hAnsi="Arial" w:eastAsia="Arial" w:cs="Arial"/>
          <w:b/>
          <w:bCs/>
          <w:color w:val="000000"/>
          <w:sz w:val="20"/>
          <w:szCs w:val="20"/>
        </w:rPr>
        <w:t xml:space="preserve">4.1.3 Unrichtige Beweiswürdigung nach § 45
Abs 2 AVG</w:t>
      </w:r>
    </w:p>
    <w:p>
      <w:pPr>
        <w:numPr>
          <w:ilvl w:val="0"/>
          <w:numId w:val="3715513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Begründung der Entscheidung hat den Vorgaben in §§ 58 und
60 AVG zu </w:t>
      </w:r>
      <w:r>
        <w:rPr>
          <w:rFonts w:ascii="Arial" w:hAnsi="Arial" w:eastAsia="Arial" w:cs="Arial"/>
          <w:color w:val="000000"/>
          <w:sz w:val="20"/>
          <w:szCs w:val="20"/>
        </w:rPr>
        <w:t xml:space="preserve">entsprechen.</w:t>
      </w:r>
      <w:bookmarkStart w:id="60297784" w:name="link16"/>
      <w:bookmarkEnd w:id="60297784"/>
      <w:hyperlink w:anchor="note16" w:history="1">
        <w:r>
          <w:rPr>
            <w:rFonts w:ascii="Arial" w:hAnsi="Arial" w:eastAsia="Arial" w:cs="Arial"/>
            <w:b/>
            <w:bCs/>
            <w:color w:val="006BB6"/>
            <w:position w:val="4"/>
            <w:sz w:val="22"/>
            <w:szCs w:val="22"/>
            <w:vertAlign w:val="superscript"/>
          </w:rPr>
          <w:t xml:space="preserve">16</w:t>
        </w:r>
      </w:hyperlink>
    </w:p>
    <w:p>
      <w:pPr>
        <w:numPr>
          <w:ilvl w:val="0"/>
          <w:numId w:val="3715513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Berücksichtigung des Parteivorbringens, soweit es für die
Feststellung des Sachverhalts von Bedeutung sein </w:t>
      </w:r>
      <w:r>
        <w:rPr>
          <w:rFonts w:ascii="Arial" w:hAnsi="Arial" w:eastAsia="Arial" w:cs="Arial"/>
          <w:color w:val="000000"/>
          <w:sz w:val="20"/>
          <w:szCs w:val="20"/>
        </w:rPr>
        <w:t xml:space="preserve">kann.</w:t>
      </w:r>
      <w:bookmarkStart w:id="37473967" w:name="link17"/>
      <w:bookmarkEnd w:id="37473967"/>
      <w:hyperlink w:anchor="note17" w:history="1">
        <w:r>
          <w:rPr>
            <w:rFonts w:ascii="Arial" w:hAnsi="Arial" w:eastAsia="Arial" w:cs="Arial"/>
            <w:b/>
            <w:bCs/>
            <w:color w:val="006BB6"/>
            <w:position w:val="4"/>
            <w:sz w:val="22"/>
            <w:szCs w:val="22"/>
            <w:vertAlign w:val="superscript"/>
          </w:rPr>
          <w:t xml:space="preserve">17</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4.2 Rechtswidrigkeit des Inhalts des Bescheides wegen ua
Verkennung der </w:t>
      </w:r>
      <w:r>
        <w:rPr>
          <w:rFonts w:ascii="Arial" w:hAnsi="Arial" w:eastAsia="Arial" w:cs="Arial"/>
          <w:b/>
          <w:bCs/>
          <w:color w:val="363A40"/>
          <w:sz w:val="22"/>
          <w:szCs w:val="22"/>
        </w:rPr>
        <w:t xml:space="preserve">Rechtslage</w:t>
      </w:r>
      <w:bookmarkStart w:id="67762222" w:name="link18"/>
      <w:bookmarkEnd w:id="67762222"/>
      <w:hyperlink w:anchor="note18" w:history="1">
        <w:r>
          <w:rPr>
            <w:rFonts w:ascii="Arial" w:hAnsi="Arial" w:eastAsia="Arial" w:cs="Arial"/>
            <w:b/>
            <w:bCs/>
            <w:color w:val="006BB6"/>
            <w:position w:val="5"/>
            <w:sz w:val="24"/>
            <w:szCs w:val="24"/>
            <w:vertAlign w:val="superscript"/>
          </w:rPr>
          <w:t xml:space="preserve">18</w:t>
        </w:r>
      </w:hyperlink>
    </w:p>
    <w:p>
      <w:pPr>
        <w:numPr>
          <w:ilvl w:val="0"/>
          <w:numId w:val="9200861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Keine unerlaubte </w:t>
      </w:r>
      <w:r>
        <w:rPr>
          <w:rFonts w:ascii="Arial" w:hAnsi="Arial" w:eastAsia="Arial" w:cs="Arial"/>
          <w:color w:val="000000"/>
          <w:sz w:val="20"/>
          <w:szCs w:val="20"/>
        </w:rPr>
        <w:t xml:space="preserve">Beschäftigung</w:t>
      </w:r>
      <w:bookmarkStart w:id="95365748" w:name="link19"/>
      <w:bookmarkEnd w:id="95365748"/>
      <w:hyperlink w:anchor="note19" w:history="1">
        <w:r>
          <w:rPr>
            <w:rFonts w:ascii="Arial" w:hAnsi="Arial" w:eastAsia="Arial" w:cs="Arial"/>
            <w:b/>
            <w:bCs/>
            <w:color w:val="006BB6"/>
            <w:position w:val="4"/>
            <w:sz w:val="22"/>
            <w:szCs w:val="22"/>
            <w:vertAlign w:val="superscript"/>
          </w:rPr>
          <w:t xml:space="preserve">19</w:t>
        </w:r>
      </w:hyperlink>
      <w:r>
        <w:rPr>
          <w:rFonts w:ascii="Arial" w:hAnsi="Arial" w:eastAsia="Arial" w:cs="Arial"/>
          <w:color w:val="000000"/>
          <w:sz w:val="20"/>
          <w:szCs w:val="20"/>
        </w:rPr>
        <w:t xml:space="preserve"> eines Ausländers
nach § 28 Abs 1 Z 1 lit </w:t>
      </w:r>
      <w:r>
        <w:rPr>
          <w:rFonts w:ascii="Arial" w:hAnsi="Arial" w:eastAsia="Arial" w:cs="Arial"/>
          <w:color w:val="000000"/>
          <w:sz w:val="20"/>
          <w:szCs w:val="20"/>
        </w:rPr>
        <w:t xml:space="preserve">a</w:t>
      </w:r>
      <w:bookmarkStart w:id="19959095" w:name="link20"/>
      <w:bookmarkEnd w:id="19959095"/>
      <w:hyperlink w:anchor="note20" w:history="1">
        <w:r>
          <w:rPr>
            <w:rFonts w:ascii="Arial" w:hAnsi="Arial" w:eastAsia="Arial" w:cs="Arial"/>
            <w:b/>
            <w:bCs/>
            <w:color w:val="006BB6"/>
            <w:position w:val="4"/>
            <w:sz w:val="22"/>
            <w:szCs w:val="22"/>
            <w:vertAlign w:val="superscript"/>
          </w:rPr>
          <w:t xml:space="preserve">20</w:t>
        </w:r>
      </w:hyperlink>
      <w:r>
        <w:rPr>
          <w:rFonts w:ascii="Arial" w:hAnsi="Arial" w:eastAsia="Arial" w:cs="Arial"/>
          <w:color w:val="000000"/>
          <w:sz w:val="20"/>
          <w:szCs w:val="20"/>
        </w:rPr>
        <w:t xml:space="preserve"> iVm § 3
Abs 1 </w:t>
      </w:r>
      <w:r>
        <w:rPr>
          <w:rFonts w:ascii="Arial" w:hAnsi="Arial" w:eastAsia="Arial" w:cs="Arial"/>
          <w:color w:val="000000"/>
          <w:sz w:val="20"/>
          <w:szCs w:val="20"/>
        </w:rPr>
        <w:t xml:space="preserve">AuslBG</w:t>
      </w:r>
      <w:bookmarkStart w:id="90219365" w:name="link21"/>
      <w:bookmarkEnd w:id="90219365"/>
      <w:hyperlink w:anchor="note21" w:history="1">
        <w:r>
          <w:rPr>
            <w:rFonts w:ascii="Arial" w:hAnsi="Arial" w:eastAsia="Arial" w:cs="Arial"/>
            <w:b/>
            <w:bCs/>
            <w:color w:val="006BB6"/>
            <w:position w:val="4"/>
            <w:sz w:val="22"/>
            <w:szCs w:val="22"/>
            <w:vertAlign w:val="superscript"/>
          </w:rPr>
          <w:t xml:space="preserve">21</w:t>
        </w:r>
      </w:hyperlink>
    </w:p>
    <w:p>
      <w:pPr>
        <w:numPr>
          <w:ilvl w:val="0"/>
          <w:numId w:val="9200861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Anspruch nehmen“ von Arbeitsleistungen betriebsentsandter
Ausländer ohne ein zwischen einem inländischen Unternehmen und den
Ausländern bestehendes Beschäftigungsverhältnis nach
§ 28 Abs 1 Z 4 </w:t>
      </w:r>
      <w:r>
        <w:rPr>
          <w:rFonts w:ascii="Arial" w:hAnsi="Arial" w:eastAsia="Arial" w:cs="Arial"/>
          <w:color w:val="000000"/>
          <w:sz w:val="20"/>
          <w:szCs w:val="20"/>
        </w:rPr>
        <w:t xml:space="preserve">AuslBG?</w:t>
      </w:r>
      <w:bookmarkStart w:id="24489700" w:name="link22"/>
      <w:bookmarkEnd w:id="24489700"/>
      <w:hyperlink w:anchor="note22" w:history="1">
        <w:r>
          <w:rPr>
            <w:rFonts w:ascii="Arial" w:hAnsi="Arial" w:eastAsia="Arial" w:cs="Arial"/>
            <w:b/>
            <w:bCs/>
            <w:color w:val="006BB6"/>
            <w:position w:val="4"/>
            <w:sz w:val="22"/>
            <w:szCs w:val="22"/>
            <w:vertAlign w:val="superscript"/>
          </w:rPr>
          <w:t xml:space="preserve">22</w:t>
        </w:r>
      </w:hyperlink>
    </w:p>
    <w:p>
      <w:pPr>
        <w:numPr>
          <w:ilvl w:val="0"/>
          <w:numId w:val="9200861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Widerlegung der Rechtsvermutung nach § 28 Abs 7
</w:t>
      </w:r>
      <w:r>
        <w:rPr>
          <w:rFonts w:ascii="Arial" w:hAnsi="Arial" w:eastAsia="Arial" w:cs="Arial"/>
          <w:color w:val="000000"/>
          <w:sz w:val="20"/>
          <w:szCs w:val="20"/>
        </w:rPr>
        <w:t xml:space="preserve">AuslBG</w:t>
      </w:r>
      <w:bookmarkStart w:id="52028930" w:name="link23"/>
      <w:bookmarkEnd w:id="52028930"/>
      <w:hyperlink w:anchor="note23" w:history="1">
        <w:r>
          <w:rPr>
            <w:rFonts w:ascii="Arial" w:hAnsi="Arial" w:eastAsia="Arial" w:cs="Arial"/>
            <w:b/>
            <w:bCs/>
            <w:color w:val="006BB6"/>
            <w:position w:val="4"/>
            <w:sz w:val="22"/>
            <w:szCs w:val="22"/>
            <w:vertAlign w:val="superscript"/>
          </w:rPr>
          <w:t xml:space="preserve">23</w:t>
        </w:r>
      </w:hyperlink>
    </w:p>
    <w:p>
      <w:pPr>
        <w:numPr>
          <w:ilvl w:val="0"/>
          <w:numId w:val="9200861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Erfüllung der </w:t>
      </w:r>
      <w:r>
        <w:rPr>
          <w:rFonts w:ascii="Arial" w:hAnsi="Arial" w:eastAsia="Arial" w:cs="Arial"/>
          <w:color w:val="000000"/>
          <w:sz w:val="20"/>
          <w:szCs w:val="20"/>
        </w:rPr>
        <w:t xml:space="preserve">subjektiven</w:t>
      </w:r>
      <w:bookmarkStart w:id="21451558" w:name="link24"/>
      <w:bookmarkEnd w:id="21451558"/>
      <w:hyperlink w:anchor="note24" w:history="1">
        <w:r>
          <w:rPr>
            <w:rFonts w:ascii="Arial" w:hAnsi="Arial" w:eastAsia="Arial" w:cs="Arial"/>
            <w:b/>
            <w:bCs/>
            <w:color w:val="006BB6"/>
            <w:position w:val="4"/>
            <w:sz w:val="22"/>
            <w:szCs w:val="22"/>
            <w:vertAlign w:val="superscript"/>
          </w:rPr>
          <w:t xml:space="preserve">24</w:t>
        </w:r>
      </w:hyperlink>
      <w:r>
        <w:rPr>
          <w:rFonts w:ascii="Arial" w:hAnsi="Arial" w:eastAsia="Arial" w:cs="Arial"/>
          <w:color w:val="000000"/>
          <w:sz w:val="20"/>
          <w:szCs w:val="20"/>
        </w:rPr>
        <w:t xml:space="preserve"> Tatbestandseite, § 5 Abs 1
</w:t>
      </w:r>
      <w:r>
        <w:rPr>
          <w:rFonts w:ascii="Arial" w:hAnsi="Arial" w:eastAsia="Arial" w:cs="Arial"/>
          <w:color w:val="000000"/>
          <w:sz w:val="20"/>
          <w:szCs w:val="20"/>
        </w:rPr>
        <w:t xml:space="preserve">VStG?</w:t>
      </w:r>
      <w:bookmarkStart w:id="45870126" w:name="link25"/>
      <w:bookmarkEnd w:id="45870126"/>
      <w:hyperlink w:anchor="note25" w:history="1">
        <w:r>
          <w:rPr>
            <w:rFonts w:ascii="Arial" w:hAnsi="Arial" w:eastAsia="Arial" w:cs="Arial"/>
            <w:b/>
            <w:bCs/>
            <w:color w:val="006BB6"/>
            <w:position w:val="4"/>
            <w:sz w:val="22"/>
            <w:szCs w:val="22"/>
            <w:vertAlign w:val="superscript"/>
          </w:rPr>
          <w:t xml:space="preserve">25</w:t>
        </w:r>
      </w:hyperlink>
    </w:p>
    <w:p>
      <w:pPr>
        <w:numPr>
          <w:ilvl w:val="0"/>
          <w:numId w:val="9200861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Verwaltungsstrafrechtliche </w:t>
      </w:r>
      <w:r>
        <w:rPr>
          <w:rFonts w:ascii="Arial" w:hAnsi="Arial" w:eastAsia="Arial" w:cs="Arial"/>
          <w:color w:val="000000"/>
          <w:sz w:val="20"/>
          <w:szCs w:val="20"/>
        </w:rPr>
        <w:t xml:space="preserve">Verantwortlichkeit?</w:t>
      </w:r>
      <w:bookmarkStart w:id="27672382" w:name="link26"/>
      <w:bookmarkEnd w:id="27672382"/>
      <w:hyperlink w:anchor="note26" w:history="1">
        <w:r>
          <w:rPr>
            <w:rFonts w:ascii="Arial" w:hAnsi="Arial" w:eastAsia="Arial" w:cs="Arial"/>
            <w:b/>
            <w:bCs/>
            <w:color w:val="006BB6"/>
            <w:position w:val="4"/>
            <w:sz w:val="22"/>
            <w:szCs w:val="22"/>
            <w:vertAlign w:val="superscript"/>
          </w:rPr>
          <w:t xml:space="preserve">26</w:t>
        </w:r>
      </w:hyperlink>
    </w:p>
    <w:p>
      <w:pPr>
        <w:numPr>
          <w:ilvl w:val="0"/>
          <w:numId w:val="9200861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Vorliegen eines Ausnahmetatbestandes gem § 1 Abs 2
</w:t>
      </w:r>
      <w:r>
        <w:rPr>
          <w:rFonts w:ascii="Arial" w:hAnsi="Arial" w:eastAsia="Arial" w:cs="Arial"/>
          <w:color w:val="000000"/>
          <w:sz w:val="20"/>
          <w:szCs w:val="20"/>
        </w:rPr>
        <w:t xml:space="preserve">AuslBG?</w:t>
      </w:r>
      <w:bookmarkStart w:id="8197246" w:name="link27"/>
      <w:bookmarkEnd w:id="8197246"/>
      <w:hyperlink w:anchor="note27" w:history="1">
        <w:r>
          <w:rPr>
            <w:rFonts w:ascii="Arial" w:hAnsi="Arial" w:eastAsia="Arial" w:cs="Arial"/>
            <w:b/>
            <w:bCs/>
            <w:color w:val="006BB6"/>
            <w:position w:val="4"/>
            <w:sz w:val="22"/>
            <w:szCs w:val="22"/>
            <w:vertAlign w:val="superscript"/>
          </w:rPr>
          <w:t xml:space="preserve">27</w:t>
        </w:r>
      </w:hyperlink>
    </w:p>
    <w:p>
      <w:pPr>
        <w:numPr>
          <w:ilvl w:val="0"/>
          <w:numId w:val="9200861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Unzulässige Verfolgung wegen Verjährung nach § 31
Abs 1 </w:t>
      </w:r>
      <w:r>
        <w:rPr>
          <w:rFonts w:ascii="Arial" w:hAnsi="Arial" w:eastAsia="Arial" w:cs="Arial"/>
          <w:color w:val="000000"/>
          <w:sz w:val="20"/>
          <w:szCs w:val="20"/>
        </w:rPr>
        <w:t xml:space="preserve">VStG</w:t>
      </w:r>
      <w:bookmarkStart w:id="10420913" w:name="link28"/>
      <w:bookmarkEnd w:id="10420913"/>
      <w:hyperlink w:anchor="note28" w:history="1">
        <w:r>
          <w:rPr>
            <w:rFonts w:ascii="Arial" w:hAnsi="Arial" w:eastAsia="Arial" w:cs="Arial"/>
            <w:b/>
            <w:bCs/>
            <w:color w:val="006BB6"/>
            <w:position w:val="4"/>
            <w:sz w:val="22"/>
            <w:szCs w:val="22"/>
            <w:vertAlign w:val="superscript"/>
          </w:rPr>
          <w:t xml:space="preserve">28</w:t>
        </w:r>
      </w:hyperlink>
    </w:p>
    <w:p>
      <w:pPr>
        <w:numPr>
          <w:ilvl w:val="0"/>
          <w:numId w:val="9200861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Keine angemessene </w:t>
      </w:r>
      <w:r>
        <w:rPr>
          <w:rFonts w:ascii="Arial" w:hAnsi="Arial" w:eastAsia="Arial" w:cs="Arial"/>
          <w:color w:val="000000"/>
          <w:sz w:val="20"/>
          <w:szCs w:val="20"/>
        </w:rPr>
        <w:t xml:space="preserve">Strafhöhe</w:t>
      </w:r>
      <w:bookmarkStart w:id="50328486" w:name="link29"/>
      <w:bookmarkEnd w:id="50328486"/>
      <w:hyperlink w:anchor="note29" w:history="1">
        <w:r>
          <w:rPr>
            <w:rFonts w:ascii="Arial" w:hAnsi="Arial" w:eastAsia="Arial" w:cs="Arial"/>
            <w:b/>
            <w:bCs/>
            <w:color w:val="006BB6"/>
            <w:position w:val="4"/>
            <w:sz w:val="22"/>
            <w:szCs w:val="22"/>
            <w:vertAlign w:val="superscript"/>
          </w:rPr>
          <w:t xml:space="preserve">29</w:t>
        </w:r>
      </w:hyperlink>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5. Antrag auf Durchführung einer mündlichen </w:t>
      </w:r>
      <w:r>
        <w:rPr>
          <w:rFonts w:ascii="Arial" w:hAnsi="Arial" w:eastAsia="Arial" w:cs="Arial"/>
          <w:b/>
          <w:bCs/>
          <w:color w:val="363A40"/>
          <w:sz w:val="28"/>
          <w:szCs w:val="28"/>
        </w:rPr>
        <w:t xml:space="preserve">Verhandlung</w:t>
      </w:r>
      <w:bookmarkStart w:id="34056658" w:name="link30"/>
      <w:bookmarkEnd w:id="34056658"/>
      <w:hyperlink w:anchor="note30" w:history="1">
        <w:r>
          <w:rPr>
            <w:rFonts w:ascii="Arial" w:hAnsi="Arial" w:eastAsia="Arial" w:cs="Arial"/>
            <w:b/>
            <w:bCs/>
            <w:color w:val="006BB6"/>
            <w:position w:val="6"/>
            <w:sz w:val="31"/>
            <w:szCs w:val="31"/>
            <w:vertAlign w:val="superscript"/>
          </w:rPr>
          <w:t xml:space="preserve">30</w:t>
        </w:r>
      </w:hyperlink>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6. </w:t>
      </w:r>
      <w:r>
        <w:rPr>
          <w:rFonts w:ascii="Arial" w:hAnsi="Arial" w:eastAsia="Arial" w:cs="Arial"/>
          <w:b/>
          <w:bCs/>
          <w:color w:val="363A40"/>
          <w:sz w:val="28"/>
          <w:szCs w:val="28"/>
        </w:rPr>
        <w:t xml:space="preserve">Anträge</w:t>
      </w:r>
      <w:bookmarkStart w:id="65323893" w:name="link31"/>
      <w:bookmarkEnd w:id="65323893"/>
      <w:hyperlink w:anchor="note31" w:history="1">
        <w:r>
          <w:rPr>
            <w:rFonts w:ascii="Arial" w:hAnsi="Arial" w:eastAsia="Arial" w:cs="Arial"/>
            <w:b/>
            <w:bCs/>
            <w:color w:val="006BB6"/>
            <w:position w:val="6"/>
            <w:sz w:val="31"/>
            <w:szCs w:val="31"/>
            <w:vertAlign w:val="superscript"/>
          </w:rPr>
          <w:t xml:space="preserve">31</w:t>
        </w:r>
      </w:hyperlink>
    </w:p>
    <w:p>
      <w:pPr>
        <w:widowControl w:val="on"/>
        <w:pBdr/>
        <w:spacing w:before="140" w:after="240" w:line="288" w:lineRule="auto"/>
        <w:ind w:left="0" w:right="0"/>
        <w:jc w:val="left"/>
      </w:pPr>
      <w:r>
        <w:rPr>
          <w:rFonts w:ascii="Arial" w:hAnsi="Arial" w:eastAsia="Arial" w:cs="Arial"/>
          <w:color w:val="000000"/>
          <w:sz w:val="20"/>
          <w:szCs w:val="20"/>
        </w:rPr>
        <w:t xml:space="preserve">Der Beschwerdeführer stellt sohin an das </w:t>
      </w:r>
      <w:r>
        <w:rPr>
          <w:rFonts w:ascii="Arial" w:hAnsi="Arial" w:eastAsia="Arial" w:cs="Arial"/>
          <w:color w:val="000000"/>
          <w:sz w:val="20"/>
          <w:szCs w:val="20"/>
        </w:rPr>
        <w:t xml:space="preserve">VwG</w:t>
      </w:r>
      <w:bookmarkStart w:id="25309585" w:name="link32"/>
      <w:bookmarkEnd w:id="25309585"/>
      <w:hyperlink w:anchor="note32" w:history="1">
        <w:r>
          <w:rPr>
            <w:rFonts w:ascii="Arial" w:hAnsi="Arial" w:eastAsia="Arial" w:cs="Arial"/>
            <w:b/>
            <w:bCs/>
            <w:color w:val="006BB6"/>
            <w:position w:val="4"/>
            <w:sz w:val="22"/>
            <w:szCs w:val="22"/>
            <w:vertAlign w:val="superscript"/>
          </w:rPr>
          <w:t xml:space="preserve">32</w:t>
        </w:r>
      </w:hyperlink>
      <w:r>
        <w:rPr>
          <w:rFonts w:ascii="Arial" w:hAnsi="Arial" w:eastAsia="Arial" w:cs="Arial"/>
          <w:color w:val="000000"/>
          <w:sz w:val="20"/>
          <w:szCs w:val="20"/>
        </w:rPr>
        <w:t xml:space="preserve"> die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Anträge,</w:t>
      </w:r>
    </w:p>
    <w:p>
      <w:pPr>
        <w:numPr>
          <w:ilvl w:val="0"/>
          <w:numId w:val="8612302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gem § 44 VwGVG eine mündliche Verhandlung durchzuführen
und</w:t>
      </w:r>
    </w:p>
    <w:p>
      <w:pPr>
        <w:numPr>
          <w:ilvl w:val="0"/>
          <w:numId w:val="8612302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Beschwerde nach § 50 VwGVG </w:t>
      </w:r>
      <w:r>
        <w:rPr>
          <w:rFonts w:ascii="Arial" w:hAnsi="Arial" w:eastAsia="Arial" w:cs="Arial"/>
          <w:color w:val="000000"/>
          <w:sz w:val="20"/>
          <w:szCs w:val="20"/>
        </w:rPr>
        <w:t xml:space="preserve">stattzugeben,</w:t>
      </w:r>
      <w:bookmarkStart w:id="58636289" w:name="link33"/>
      <w:bookmarkEnd w:id="58636289"/>
      <w:hyperlink w:anchor="note33" w:history="1">
        <w:r>
          <w:rPr>
            <w:rFonts w:ascii="Arial" w:hAnsi="Arial" w:eastAsia="Arial" w:cs="Arial"/>
            <w:b/>
            <w:bCs/>
            <w:color w:val="006BB6"/>
            <w:position w:val="4"/>
            <w:sz w:val="22"/>
            <w:szCs w:val="22"/>
            <w:vertAlign w:val="superscript"/>
          </w:rPr>
          <w:t xml:space="preserve">33</w:t>
        </w:r>
      </w:hyperlink>
      <w:r>
        <w:rPr>
          <w:rFonts w:ascii="Arial" w:hAnsi="Arial" w:eastAsia="Arial" w:cs="Arial"/>
          <w:color w:val="000000"/>
          <w:sz w:val="20"/>
          <w:szCs w:val="20"/>
        </w:rPr>
        <w:t xml:space="preserve"> das angefochtene
Straferkenntnis ersatzlos zu beheben und das Verfahren nach
§ 38 VwGVG iVm § 45 Abs 1 VStG </w:t>
      </w:r>
      <w:r>
        <w:rPr>
          <w:rFonts w:ascii="Arial" w:hAnsi="Arial" w:eastAsia="Arial" w:cs="Arial"/>
          <w:color w:val="000000"/>
          <w:sz w:val="20"/>
          <w:szCs w:val="20"/>
        </w:rPr>
        <w:t xml:space="preserve">einzustellen;</w:t>
      </w:r>
      <w:bookmarkStart w:id="85632015" w:name="link34"/>
      <w:bookmarkEnd w:id="85632015"/>
      <w:hyperlink w:anchor="note34" w:history="1">
        <w:r>
          <w:rPr>
            <w:rFonts w:ascii="Arial" w:hAnsi="Arial" w:eastAsia="Arial" w:cs="Arial"/>
            <w:b/>
            <w:bCs/>
            <w:color w:val="006BB6"/>
            <w:position w:val="4"/>
            <w:sz w:val="22"/>
            <w:szCs w:val="22"/>
            <w:vertAlign w:val="superscript"/>
          </w:rPr>
          <w:t xml:space="preserve">34</w:t>
        </w:r>
      </w:hyperlink>
      <w:r>
        <w:rPr>
          <w:rFonts w:ascii="Arial" w:hAnsi="Arial" w:eastAsia="Arial" w:cs="Arial"/>
          <w:color w:val="000000"/>
          <w:sz w:val="20"/>
          <w:szCs w:val="20"/>
        </w:rPr>
        <w:br/>
        <w:t xml:space="preserve">in eventu</w:t>
      </w:r>
    </w:p>
    <w:p>
      <w:pPr>
        <w:numPr>
          <w:ilvl w:val="0"/>
          <w:numId w:val="8612302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wegen der geringen Bedeutung des strafrechtlich geschützten
Rechtsgutes und der geringen Intensität seiner Beeinträchtigungen
durch die Tat sowie aufgrund des geringen Verschuldens bei einer
Ermahnung nach § 38 VwGVG iVm § 45 Abs 1 letzter
Satz VStG bewenden zu lassen;</w:t>
      </w:r>
      <w:r>
        <w:rPr>
          <w:rFonts w:ascii="Arial" w:hAnsi="Arial" w:eastAsia="Arial" w:cs="Arial"/>
          <w:color w:val="000000"/>
          <w:sz w:val="20"/>
          <w:szCs w:val="20"/>
        </w:rPr>
        <w:br/>
        <w:t xml:space="preserve">in eventu</w:t>
      </w:r>
    </w:p>
    <w:p>
      <w:pPr>
        <w:numPr>
          <w:ilvl w:val="0"/>
          <w:numId w:val="8612302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Strafhöhe auf ein tat- und schuldangemessenes Maß
herabzusetzen und</w:t>
      </w:r>
    </w:p>
    <w:p>
      <w:pPr>
        <w:numPr>
          <w:ilvl w:val="0"/>
          <w:numId w:val="8612302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festzustellen, dass die Kosten des Verfahrens gem § 52
Abs 9 VwGVG von der belangten Behörde zu </w:t>
      </w:r>
      <w:r>
        <w:rPr>
          <w:rFonts w:ascii="Arial" w:hAnsi="Arial" w:eastAsia="Arial" w:cs="Arial"/>
          <w:color w:val="000000"/>
          <w:sz w:val="20"/>
          <w:szCs w:val="20"/>
        </w:rPr>
        <w:t xml:space="preserve">tragen</w:t>
      </w:r>
      <w:bookmarkStart w:id="61821081" w:name="link35"/>
      <w:bookmarkEnd w:id="61821081"/>
      <w:hyperlink w:anchor="note35" w:history="1">
        <w:r>
          <w:rPr>
            <w:rFonts w:ascii="Arial" w:hAnsi="Arial" w:eastAsia="Arial" w:cs="Arial"/>
            <w:b/>
            <w:bCs/>
            <w:color w:val="006BB6"/>
            <w:position w:val="4"/>
            <w:sz w:val="22"/>
            <w:szCs w:val="22"/>
            <w:vertAlign w:val="superscript"/>
          </w:rPr>
          <w:t xml:space="preserve">35</w:t>
        </w:r>
      </w:hyperlink>
      <w:r>
        <w:rPr>
          <w:rFonts w:ascii="Arial" w:hAnsi="Arial" w:eastAsia="Arial" w:cs="Arial"/>
          <w:color w:val="000000"/>
          <w:sz w:val="20"/>
          <w:szCs w:val="20"/>
        </w:rPr>
        <w:t xml:space="preserve"> bzw, falls sie schon
gezahlt sind, dem Beschwerdeführer zurückzuerstatten </w:t>
      </w:r>
      <w:r>
        <w:rPr>
          <w:rFonts w:ascii="Arial" w:hAnsi="Arial" w:eastAsia="Arial" w:cs="Arial"/>
          <w:color w:val="000000"/>
          <w:sz w:val="20"/>
          <w:szCs w:val="20"/>
        </w:rPr>
        <w:t xml:space="preserve">sind.</w:t>
      </w:r>
      <w:bookmarkStart w:id="92276768" w:name="link36"/>
      <w:bookmarkEnd w:id="92276768"/>
      <w:hyperlink w:anchor="note36" w:history="1">
        <w:r>
          <w:rPr>
            <w:rFonts w:ascii="Arial" w:hAnsi="Arial" w:eastAsia="Arial" w:cs="Arial"/>
            <w:b/>
            <w:bCs/>
            <w:color w:val="006BB6"/>
            <w:position w:val="4"/>
            <w:sz w:val="22"/>
            <w:szCs w:val="22"/>
            <w:vertAlign w:val="superscript"/>
          </w:rPr>
          <w:t xml:space="preserve">36</w:t>
        </w:r>
      </w:hyperlink>
    </w:p>
    <w:p>
      <w:pPr>
        <w:widowControl w:val="on"/>
        <w:pBdr/>
        <w:spacing w:before="140" w:after="240" w:line="288" w:lineRule="auto"/>
        <w:ind w:left="0" w:right="0"/>
        <w:jc w:val="right"/>
      </w:pPr>
      <w:r>
        <w:rPr>
          <w:rFonts w:ascii="Arial" w:hAnsi="Arial" w:eastAsia="Arial" w:cs="Arial"/>
          <w:color w:val="000000"/>
          <w:sz w:val="20"/>
          <w:szCs w:val="20"/>
        </w:rPr>
        <w:t xml:space="preserve">Beschwerdeführer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7562489" w:name="note1"/>
            <w:bookmarkEnd w:id="77562489"/>
            <w:bookmarkStart w:id="2324429656541" w:name="note1"/>
            <w:r>
              <w:rPr>
                <w:rFonts w:ascii="Arial" w:hAnsi="Arial" w:eastAsia="Arial" w:cs="Arial"/>
                <w:b/>
                <w:bCs/>
                <w:color w:val="000000"/>
                <w:position w:val="0"/>
                <w:sz w:val="20"/>
                <w:szCs w:val="20"/>
              </w:rPr>
              <w:t xml:space="preserve">[1]</w:t>
            </w:r>
            <w:bookmarkEnd w:id="232442965654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Beschwerde ist schriftlich bei der belangten Behörde
einzubringen, vgl § 12 VwGVG sowie konkret § 26 VStG.
Hinsichtlich der Einbringung beachte auch § 11 VwGVG iVm
§ 13 AVG. Obwohl für Rechtsanwälte die Teilnahme am
elektronischen Rechtsverkehr verpflichtend ist (vgl § 21
Abs 6 BVwGG iVm § 89c Abs 5 GOG und § 1
BVwG-EVV), wird dies bei der Einbringung bei der belangten Behörde
mangels entsprechender Einrichtung des ERV nicht möglich sein.
Siehe dazu auch die jeweilige Rechtsmittelbelehrung. Gem § 20g
Abs 5 AuslBG gelten die Bestimmungen des VwGVG.</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393265" w:name="note2"/>
            <w:bookmarkEnd w:id="18393265"/>
            <w:bookmarkStart w:id="1979085469521" w:name="note2"/>
            <w:r>
              <w:rPr>
                <w:rFonts w:ascii="Arial" w:hAnsi="Arial" w:eastAsia="Arial" w:cs="Arial"/>
                <w:b/>
                <w:bCs/>
                <w:color w:val="000000"/>
                <w:position w:val="0"/>
                <w:sz w:val="20"/>
                <w:szCs w:val="20"/>
              </w:rPr>
              <w:t xml:space="preserve">[2]</w:t>
            </w:r>
            <w:bookmarkEnd w:id="197908546952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Art 132 Abs 1 Z 1 B-VG:
„</w:t>
            </w:r>
            <w:r>
              <w:rPr>
                <w:rFonts w:ascii="Arial" w:hAnsi="Arial" w:eastAsia="Arial" w:cs="Arial"/>
                <w:i/>
                <w:iCs/>
                <w:color w:val="000000"/>
                <w:position w:val="0"/>
                <w:sz w:val="20"/>
                <w:szCs w:val="20"/>
              </w:rPr>
              <w:t xml:space="preserve">Wer</w:t>
            </w:r>
            <w:r>
              <w:rPr>
                <w:rFonts w:ascii="Arial" w:hAnsi="Arial" w:eastAsia="Arial" w:cs="Arial"/>
                <w:i/>
                <w:iCs/>
                <w:color w:val="000000"/>
                <w:position w:val="0"/>
                <w:sz w:val="20"/>
                <w:szCs w:val="20"/>
              </w:rPr>
              <w:t xml:space="preserve"> durch den Bescheid in seinen Rechten
verletzt zu sein behauptet.</w:t>
            </w:r>
            <w:r>
              <w:rPr>
                <w:rFonts w:ascii="Arial" w:hAnsi="Arial" w:eastAsia="Arial" w:cs="Arial"/>
                <w:i/>
                <w:iCs/>
                <w:color w:val="000000"/>
                <w:position w:val="0"/>
                <w:sz w:val="20"/>
                <w:szCs w:val="20"/>
              </w:rPr>
              <w:t xml:space="preserve">“</w:t>
            </w:r>
            <w:r>
              <w:rPr>
                <w:rFonts w:ascii="Arial" w:hAnsi="Arial" w:eastAsia="Arial" w:cs="Arial"/>
                <w:color w:val="000000"/>
                <w:position w:val="0"/>
                <w:sz w:val="20"/>
                <w:szCs w:val="20"/>
              </w:rPr>
              <w:t xml:space="preserve"> Da die
verwaltungsstrafrechtliche Verantwortung grundsätzlich beim
Arbeitgeber (siehe § 2 Abs 3 AuslBG) liegt, wird dieser
als Beschwerdeführer angeführt. Umfassend zu der
Beschwerdelegitimation siehe </w:t>
            </w:r>
            <w:r>
              <w:rPr>
                <w:rFonts w:ascii="Arial" w:hAnsi="Arial" w:eastAsia="Arial" w:cs="Arial"/>
                <w:i/>
                <w:iCs/>
                <w:color w:val="000000"/>
                <w:position w:val="0"/>
                <w:sz w:val="20"/>
                <w:szCs w:val="20"/>
              </w:rPr>
              <w:t xml:space="preserve">Kolonovits/Muzak/Stöger</w:t>
            </w:r>
            <w:r>
              <w:rPr>
                <w:rFonts w:ascii="Arial" w:hAnsi="Arial" w:eastAsia="Arial" w:cs="Arial"/>
                <w:color w:val="000000"/>
                <w:position w:val="0"/>
                <w:sz w:val="20"/>
                <w:szCs w:val="20"/>
              </w:rPr>
              <w:t xml:space="preserve">,
Verwaltungsverfahrensrecht, 2019, Rz 1199.</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Zugunsten besserer Lesbarkeit findet die männliche Form
von personenbezogenen Hauptwörtern Verwendung. Dies impliziert
keinesfalls eine Benachteiligung des anderen Geschlechts. Gemeint
und angesprochen sind alle Geschlechter.</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632101" w:name="note3"/>
            <w:bookmarkEnd w:id="4632101"/>
            <w:bookmarkStart w:id="4567028988747" w:name="note3"/>
            <w:r>
              <w:rPr>
                <w:rFonts w:ascii="Arial" w:hAnsi="Arial" w:eastAsia="Arial" w:cs="Arial"/>
                <w:b/>
                <w:bCs/>
                <w:color w:val="000000"/>
                <w:position w:val="0"/>
                <w:sz w:val="20"/>
                <w:szCs w:val="20"/>
              </w:rPr>
              <w:t xml:space="preserve">[3]</w:t>
            </w:r>
            <w:bookmarkEnd w:id="456702898874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besteht keine Anwaltspflicht, gewillkürte Vertretung ist nach
§ 17 VwGVG iVm § 10 AVG möglich. Siehe auch § 8 RAO.
Im Falle der Beigebung eines Verfahrenshilfeverteidigers nach
§ 40 VwGVG hat diese die Stellung eines Vertreters iSd
§ 10 Abs 1 AVG, wobei es keine Vollmacht des
Beschuldigten bedarf, da sich die betreffende Vertretungsbefugnis
unmittelbar aus der Entscheidung des VwG über die Bewilligung der
Verfahrenshilfe sowie der Bestellung durch die Rechtsanwaltskammer
ergibt (vgl </w:t>
            </w:r>
            <w:r>
              <w:rPr>
                <w:rFonts w:ascii="Arial" w:hAnsi="Arial" w:eastAsia="Arial" w:cs="Arial"/>
                <w:i/>
                <w:iCs/>
                <w:color w:val="000000"/>
                <w:position w:val="0"/>
                <w:sz w:val="20"/>
                <w:szCs w:val="20"/>
              </w:rPr>
              <w:t xml:space="preserve">Kolonovits/Muzak/Stöger</w:t>
            </w:r>
            <w:r>
              <w:rPr>
                <w:rFonts w:ascii="Arial" w:hAnsi="Arial" w:eastAsia="Arial" w:cs="Arial"/>
                <w:color w:val="000000"/>
                <w:position w:val="0"/>
                <w:sz w:val="20"/>
                <w:szCs w:val="20"/>
              </w:rPr>
              <w:t xml:space="preserve">,
Verwaltungsverfahrensrecht, 2019, Rz 1205).</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9773398" w:name="note4"/>
            <w:bookmarkEnd w:id="49773398"/>
            <w:bookmarkStart w:id="4923164759771" w:name="note4"/>
            <w:r>
              <w:rPr>
                <w:rFonts w:ascii="Arial" w:hAnsi="Arial" w:eastAsia="Arial" w:cs="Arial"/>
                <w:b/>
                <w:bCs/>
                <w:color w:val="000000"/>
                <w:position w:val="0"/>
                <w:sz w:val="20"/>
                <w:szCs w:val="20"/>
              </w:rPr>
              <w:t xml:space="preserve">[4]</w:t>
            </w:r>
            <w:bookmarkEnd w:id="492316475977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Fn 1. Bezeichnung der belangten Behörde ist zwingend, vgl
§ 9 Abs 1 Z 2 VwGVG. Im Fall von Übertretungen gem
§ 28 AuslBG ist im Zweifel der Sitz des Unternehmens des
Arbeitgebers der Tatort, denn dort wird in der Regel die
gegebenenfalls nach diesem Gesetz verpönte Beschäftigung
eingegangen und von dort aus wären die allenfalls fehlenden
arbeitsmarktrechtlichen Bewilligungen zu beantragen gewesen und
dient die Angabe des Ortes, an dem der illegal beschäftigte
Ausländer seine Arbeitsleistung erbracht hat, nur der näheren
Individualisierung der dem Beschuldigten vorgeworfenen
Tathandlungen. Die Zuständigkeit einer Behörde im Strafverfahren
gegen einen Täter begründet gem § 29 Abs 1 VStG auch ihre
örtliche Zuständigkeit gegenüber allen Mitschuldigen (vgl zum
Ganzen VwGH 18. November 2024, Ra 2024/09/0058).</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3711649" w:name="note5"/>
            <w:bookmarkEnd w:id="43711649"/>
            <w:bookmarkStart w:id="8118594451722" w:name="note5"/>
            <w:r>
              <w:rPr>
                <w:rFonts w:ascii="Arial" w:hAnsi="Arial" w:eastAsia="Arial" w:cs="Arial"/>
                <w:b/>
                <w:bCs/>
                <w:color w:val="000000"/>
                <w:position w:val="0"/>
                <w:sz w:val="20"/>
                <w:szCs w:val="20"/>
              </w:rPr>
              <w:t xml:space="preserve">[5]</w:t>
            </w:r>
            <w:bookmarkEnd w:id="811859445172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Gegenstand der Beschwerde ist der Bescheid der belangten
Behörde, vgl §§ 56 ff AVG.</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1530089" w:name="note6"/>
            <w:bookmarkEnd w:id="11530089"/>
            <w:bookmarkStart w:id="274079011741" w:name="note6"/>
            <w:r>
              <w:rPr>
                <w:rFonts w:ascii="Arial" w:hAnsi="Arial" w:eastAsia="Arial" w:cs="Arial"/>
                <w:b/>
                <w:bCs/>
                <w:color w:val="000000"/>
                <w:position w:val="0"/>
                <w:sz w:val="20"/>
                <w:szCs w:val="20"/>
              </w:rPr>
              <w:t xml:space="preserve">[6]</w:t>
            </w:r>
            <w:bookmarkEnd w:id="27407901174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dem VwGVG ausreichend.</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8614847" w:name="note7"/>
            <w:bookmarkEnd w:id="68614847"/>
            <w:bookmarkStart w:id="4029289745851" w:name="note7"/>
            <w:r>
              <w:rPr>
                <w:rFonts w:ascii="Arial" w:hAnsi="Arial" w:eastAsia="Arial" w:cs="Arial"/>
                <w:b/>
                <w:bCs/>
                <w:color w:val="000000"/>
                <w:position w:val="0"/>
                <w:sz w:val="20"/>
                <w:szCs w:val="20"/>
              </w:rPr>
              <w:t xml:space="preserve">[7]</w:t>
            </w:r>
            <w:bookmarkEnd w:id="402928974585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hat jeder Beteiligte nach § 17 VwGVG iVm
§ 74 Abs 1 AVG die im Verfahren entstandenen Kosten
selbst zu tragen. Allerdings gilt in Verwaltungsstrafverfahren nach
§ 14 TP 6 Abs 5 Z 7 GebG Gebührenfreiheit. Siehe
jedoch wiederum die Regelung des § 52 Abs 1 VwGVG, wonach
in jedem Erkenntnis des VwG, mit dem ein Straferkenntnis bestätigt
wird, auszusprechen ist, dass der Bestrafte einen Beitrag zu den
Kosten des Strafverfahrens zu leisten hat. Dieser Beitrag ist nach
Abs 2 für das Beschwerdeverfahren mit 20 % der verhängten
Strafe, mindestens jedoch mit zehn Euro zu bemessen; bei
Freiheitsstrafen ist zur Berechnung der Kosten ein Tag
Freiheitsstrafe gleich EUR 100,– anzurechnen.</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6162435" w:name="note8"/>
            <w:bookmarkEnd w:id="66162435"/>
            <w:bookmarkStart w:id="628844103342" w:name="note8"/>
            <w:r>
              <w:rPr>
                <w:rFonts w:ascii="Arial" w:hAnsi="Arial" w:eastAsia="Arial" w:cs="Arial"/>
                <w:b/>
                <w:bCs/>
                <w:color w:val="000000"/>
                <w:position w:val="0"/>
                <w:sz w:val="20"/>
                <w:szCs w:val="20"/>
              </w:rPr>
              <w:t xml:space="preserve">[8]</w:t>
            </w:r>
            <w:bookmarkEnd w:id="62884410334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auch Art 130 Abs 3 und Abs 4 B-VG. Örtliche
Zuständigkeit ergibt sich aus § 3 Abs 2 Z 1 letzter
Satz VwGVG (</w:t>
            </w:r>
            <w:r>
              <w:rPr>
                <w:rFonts w:ascii="Arial" w:hAnsi="Arial" w:eastAsia="Arial" w:cs="Arial"/>
                <w:i/>
                <w:iCs/>
                <w:color w:val="000000"/>
                <w:position w:val="0"/>
                <w:sz w:val="20"/>
                <w:szCs w:val="20"/>
              </w:rPr>
              <w:t xml:space="preserve">„in</w:t>
            </w:r>
            <w:r>
              <w:rPr>
                <w:rFonts w:ascii="Arial" w:hAnsi="Arial" w:eastAsia="Arial" w:cs="Arial"/>
                <w:color w:val="000000"/>
                <w:position w:val="0"/>
                <w:sz w:val="20"/>
                <w:szCs w:val="20"/>
              </w:rPr>
              <w:t xml:space="preserve"> </w:t>
            </w:r>
            <w:r>
              <w:rPr>
                <w:rFonts w:ascii="Arial" w:hAnsi="Arial" w:eastAsia="Arial" w:cs="Arial"/>
                <w:i/>
                <w:iCs/>
                <w:color w:val="000000"/>
                <w:position w:val="0"/>
                <w:sz w:val="20"/>
                <w:szCs w:val="20"/>
              </w:rPr>
              <w:t xml:space="preserve">Verwaltungsstrafsachen jedoch nach dem
Sitz der Behörde, die den Bescheid erlassen bzw nicht erlassen
hat</w:t>
            </w:r>
            <w:r>
              <w:rPr>
                <w:rFonts w:ascii="Arial" w:hAnsi="Arial" w:eastAsia="Arial" w:cs="Arial"/>
                <w:i/>
                <w:iCs/>
                <w:color w:val="000000"/>
                <w:position w:val="0"/>
                <w:sz w:val="20"/>
                <w:szCs w:val="20"/>
              </w:rPr>
              <w:t xml:space="preserve">“</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hyperlink w:anchor="link8"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680046" w:name="note9"/>
            <w:bookmarkEnd w:id="2680046"/>
            <w:bookmarkStart w:id="2082369191169" w:name="note9"/>
            <w:r>
              <w:rPr>
                <w:rFonts w:ascii="Arial" w:hAnsi="Arial" w:eastAsia="Arial" w:cs="Arial"/>
                <w:b/>
                <w:bCs/>
                <w:color w:val="000000"/>
                <w:position w:val="0"/>
                <w:sz w:val="20"/>
                <w:szCs w:val="20"/>
              </w:rPr>
              <w:t xml:space="preserve">[9]</w:t>
            </w:r>
            <w:bookmarkEnd w:id="208236919116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Frist beträgt vier Wochen ab Zustellung des Bescheides, vgl
§ 7 Abs 4 S 1 VwGVG. Die Beschwerde muss am letzten
Tag der Frist während der Amtsstunden eingebracht werden, vgl
§ 13 Abs 5 AVG sowie Verwaltungsgerichtshof (in der Folge
kurz: VwGH) 26. Februar 2015, Ra 2014/22/0092. Zustellung kann
gegebenenfalls an die ausgewiesene rechtsfreundliche Vertretung
erforderlich sein, vgl § 9 ZustG. Siehe dazu auch VwGH 10.
August 2018, Ra 2018/20/0335. Beachte die Unterbrechung der
Beschwerdefrist, wenn ein Antrag auf Beigabe eines Verteidigers
(§ 40 VwGVG) innerhalb offener Beschwerdefrist gestellt wurde,
die vierwöchige Beschwerdefrist beginnt sodann mit der Zustellung
des Beschlusses über die Bestellung des Rechtsanwalts zum Vertreter
und des anzufechtenden Bescheids an den bestellten Vertreter neu zu
laufen. Wird der (rechtzeitig) gestellte Antrag abgewiesen, so
beginnt die Beschwerdefrist mit Zustellung des abweisenden
Beschlusses an den Antragsteller ebenso neu zu laufen.</w:t>
            </w:r>
          </w:p>
          <w:p>
            <w:pPr>
              <w:widowControl w:val="on"/>
              <w:pBdr/>
              <w:spacing w:before="0" w:after="0" w:line="288" w:lineRule="auto"/>
              <w:ind w:left="0" w:right="0"/>
              <w:jc w:val="left"/>
              <w:textAlignment w:val="top"/>
            </w:pPr>
            <w:hyperlink w:anchor="link9"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1868461" w:name="note10"/>
            <w:bookmarkEnd w:id="11868461"/>
            <w:bookmarkStart w:id="9665457514834" w:name="note10"/>
            <w:r>
              <w:rPr>
                <w:rFonts w:ascii="Arial" w:hAnsi="Arial" w:eastAsia="Arial" w:cs="Arial"/>
                <w:b/>
                <w:bCs/>
                <w:color w:val="000000"/>
                <w:position w:val="0"/>
                <w:sz w:val="20"/>
                <w:szCs w:val="20"/>
              </w:rPr>
              <w:t xml:space="preserve">[10]</w:t>
            </w:r>
            <w:bookmarkEnd w:id="966545751483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 9 Abs 1 VwGVG ist die Darstellung des
Sachverhaltes nicht vorgeschrieben, jedoch üblich (vgl demgegenüber
§ 28 Abs 1 Z 3 VwGG).</w:t>
            </w:r>
          </w:p>
          <w:p>
            <w:pPr>
              <w:widowControl w:val="on"/>
              <w:pBdr/>
              <w:spacing w:before="0" w:after="0" w:line="288" w:lineRule="auto"/>
              <w:ind w:left="0" w:right="0"/>
              <w:jc w:val="left"/>
              <w:textAlignment w:val="top"/>
            </w:pPr>
            <w:hyperlink w:anchor="link10"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731585" w:name="note11"/>
            <w:bookmarkEnd w:id="3731585"/>
            <w:bookmarkStart w:id="4388561502690" w:name="note11"/>
            <w:r>
              <w:rPr>
                <w:rFonts w:ascii="Arial" w:hAnsi="Arial" w:eastAsia="Arial" w:cs="Arial"/>
                <w:b/>
                <w:bCs/>
                <w:color w:val="000000"/>
                <w:position w:val="0"/>
                <w:sz w:val="20"/>
                <w:szCs w:val="20"/>
              </w:rPr>
              <w:t xml:space="preserve">[11]</w:t>
            </w:r>
            <w:bookmarkEnd w:id="438856150269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Vgl § 9 Abs 1 Z 3 VwGVG. Nach der Rechtsprechung
des VwGH ist ein umfassendes Beschwerdevorbringen erforderlich,
sodass ein Verweis auf andere Schriftsätze unbeachtlich ist (vgl
VwGH 24. Mai 2016, Ra 2016/03/0037). Möglich ist die Ergänzung im
weiteren Verfahren (vgl VwGH 23. November 2016, Ra 2015/04/0084)
sowie Modifizierung bis zur Entscheidung (vgl VwGH 21. März 2017,
Ra 2016/12/0120).</w:t>
            </w:r>
          </w:p>
          <w:p>
            <w:pPr>
              <w:widowControl w:val="on"/>
              <w:pBdr/>
              <w:spacing w:before="0" w:after="0" w:line="288" w:lineRule="auto"/>
              <w:ind w:left="0" w:right="0"/>
              <w:jc w:val="left"/>
              <w:textAlignment w:val="top"/>
            </w:pPr>
            <w:hyperlink w:anchor="link1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1150355" w:name="note12"/>
            <w:bookmarkEnd w:id="21150355"/>
            <w:bookmarkStart w:id="6523826552020" w:name="note12"/>
            <w:r>
              <w:rPr>
                <w:rFonts w:ascii="Arial" w:hAnsi="Arial" w:eastAsia="Arial" w:cs="Arial"/>
                <w:b/>
                <w:bCs/>
                <w:color w:val="000000"/>
                <w:position w:val="0"/>
                <w:sz w:val="20"/>
                <w:szCs w:val="20"/>
              </w:rPr>
              <w:t xml:space="preserve">[12]</w:t>
            </w:r>
            <w:bookmarkEnd w:id="652382655202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der Verweisungsbestimmung des § 38 VwGVG gilt im
Verwaltungsstrafverfahren vor den VwG gem § 25
Abs 1 VStG grundsätzlich das Amtswegigkeitsprinzip (vgl
demgegenüber § 56 VStG) und gem § 25 Abs 2 VStG
der Grundsatz der Erforschung der materiellen Wahrheit, wonach vom
VwG von Amts wegen unabhängig von Parteivorbringen und -anträgen
der wahre Sachverhalt durch Aufnahme der nötigen Beweise zu
ermitteln ist (vgl VwGH 9. Juli 2020, Ra 2020/09/0019; VwGH 4.
April 2024, Ra 2023/09/0183). Der VwGH hat in seinem Erkenntnis
vom 25. April 2017, Ra 2017/09/0012, ua ausgeführt, dass
auch § 28 Abs 7 AuslBG das VwG nicht von seiner
Verpflichtung entbindet, den Sachverhalt von Amts wegen
festzustellen, die dafür notwendigen Beweise aufzunehmen, ein dem
Art 6 entsprechendes Verfahren durchzuführen und seine
Entscheidung schlüssig zu begründen. Siehe auch
§ 38 VwGVG iVm § 24 VStG,
§§ 37 erster Satz und 39 Abs 2 AVG.</w:t>
            </w:r>
          </w:p>
          <w:p>
            <w:pPr>
              <w:widowControl w:val="on"/>
              <w:pBdr/>
              <w:spacing w:before="0" w:after="0" w:line="288" w:lineRule="auto"/>
              <w:ind w:left="0" w:right="0"/>
              <w:jc w:val="left"/>
              <w:textAlignment w:val="top"/>
            </w:pPr>
            <w:hyperlink w:anchor="link1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5092460" w:name="note13"/>
            <w:bookmarkEnd w:id="75092460"/>
            <w:bookmarkStart w:id="6480050639288" w:name="note13"/>
            <w:r>
              <w:rPr>
                <w:rFonts w:ascii="Arial" w:hAnsi="Arial" w:eastAsia="Arial" w:cs="Arial"/>
                <w:b/>
                <w:bCs/>
                <w:color w:val="000000"/>
                <w:position w:val="0"/>
                <w:sz w:val="20"/>
                <w:szCs w:val="20"/>
              </w:rPr>
              <w:t xml:space="preserve">[13]</w:t>
            </w:r>
            <w:bookmarkEnd w:id="648005063928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Beachte insbesondere § 45 Abs 3 AVG, wonach den
Parteien Gelegenheit gegeben werden muss, vom Ergebnis der
Beweisaufnahme Kenntnis zu erlangen und dazu Stellung zu nehmen.
Der Ermittlungs- und Wahrheitserforschungspflicht der Behörde steht
nach dem VwGH die Mitwirkungspflicht der Partei gegenüber, sodass
sich eine Partei nicht auf eine Verletzung ihres Parteiengehörs
berufen kann, wenn sie am vorausgegangenen Verfahren trotz
vorhandener Möglichkeit nicht genügend mitgewirkt hat (VwGH 8.
August 2008, 2007/09/0339 mit Verweis auf VwGH 6. März 2008,
2007/09/0233). In Bezug auf das Recht auf Akteneinsicht siehe VwGH
24. März 2021, Ra 2018/13/0062. Zudem wird nach dem VwGH eine im
erstinstanzlichen Verfahren unterlaufene Verletzung des
Parteiengehörs dadurch saniert, dass die Partei die Möglichkeit
hat, in ihrer Beschwerde und sodann im Zuge des
Beschwerdeverfahrens ihren Rechtsstandpunkt darzulegen und sohin an
der Feststellung des maßgeblichen Sachverhaltes mitzuwirken (vgl
VwGH 28. Mai 1993, 92/17/0248).</w:t>
            </w:r>
          </w:p>
          <w:p>
            <w:pPr>
              <w:widowControl w:val="on"/>
              <w:pBdr/>
              <w:spacing w:before="0" w:after="0" w:line="288" w:lineRule="auto"/>
              <w:ind w:left="0" w:right="0"/>
              <w:jc w:val="left"/>
              <w:textAlignment w:val="top"/>
            </w:pPr>
            <w:hyperlink w:anchor="link1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4038806" w:name="note14"/>
            <w:bookmarkEnd w:id="94038806"/>
            <w:bookmarkStart w:id="4055513776754" w:name="note14"/>
            <w:r>
              <w:rPr>
                <w:rFonts w:ascii="Arial" w:hAnsi="Arial" w:eastAsia="Arial" w:cs="Arial"/>
                <w:b/>
                <w:bCs/>
                <w:color w:val="000000"/>
                <w:position w:val="0"/>
                <w:sz w:val="20"/>
                <w:szCs w:val="20"/>
              </w:rPr>
              <w:t xml:space="preserve">[14]</w:t>
            </w:r>
            <w:bookmarkEnd w:id="405551377675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dazu ua VwGH 28. September 2020, RA 2020/18/0075. Nach
ständiger Rechtsprechung des VwGH erstreckt sich das
zum Überraschungsverbot in Beziehung gesetzte
Parteiengehör nur auf die Feststellung des maßgeblichen
Sachverhalts, nicht aber auf die von der Behörde bzw dem VwG
vorzunehmende rechtliche Beurteilung (vgl VwGH 22. November
2017, Ra 2017/19/0421).</w:t>
            </w:r>
          </w:p>
          <w:p>
            <w:pPr>
              <w:widowControl w:val="on"/>
              <w:pBdr/>
              <w:spacing w:before="0" w:after="0" w:line="288" w:lineRule="auto"/>
              <w:ind w:left="0" w:right="0"/>
              <w:jc w:val="left"/>
              <w:textAlignment w:val="top"/>
            </w:pPr>
            <w:hyperlink w:anchor="link1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2732105" w:name="note15"/>
            <w:bookmarkEnd w:id="82732105"/>
            <w:bookmarkStart w:id="630465172882" w:name="note15"/>
            <w:r>
              <w:rPr>
                <w:rFonts w:ascii="Arial" w:hAnsi="Arial" w:eastAsia="Arial" w:cs="Arial"/>
                <w:b/>
                <w:bCs/>
                <w:color w:val="000000"/>
                <w:position w:val="0"/>
                <w:sz w:val="20"/>
                <w:szCs w:val="20"/>
              </w:rPr>
              <w:t xml:space="preserve">[15]</w:t>
            </w:r>
            <w:bookmarkEnd w:id="63046517288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Vgl VwGH 5. Oktober 2000, 98/21/0518.</w:t>
            </w:r>
          </w:p>
          <w:p>
            <w:pPr>
              <w:widowControl w:val="on"/>
              <w:pBdr/>
              <w:spacing w:before="0" w:after="0" w:line="288" w:lineRule="auto"/>
              <w:ind w:left="0" w:right="0"/>
              <w:jc w:val="left"/>
              <w:textAlignment w:val="top"/>
            </w:pPr>
            <w:hyperlink w:anchor="link1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096107" w:name="note16"/>
            <w:bookmarkEnd w:id="3096107"/>
            <w:bookmarkStart w:id="4143195118472" w:name="note16"/>
            <w:r>
              <w:rPr>
                <w:rFonts w:ascii="Arial" w:hAnsi="Arial" w:eastAsia="Arial" w:cs="Arial"/>
                <w:b/>
                <w:bCs/>
                <w:color w:val="000000"/>
                <w:position w:val="0"/>
                <w:sz w:val="20"/>
                <w:szCs w:val="20"/>
              </w:rPr>
              <w:t xml:space="preserve">[16]</w:t>
            </w:r>
            <w:bookmarkEnd w:id="414319511847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dazu ua VwGH 12. März 2020, Ra 2017/22/0137. Hiernach sind
nach § 60 AVG in der Begründung die Ergebnisse des
Ermittlungsverfahrens, die bei der Beweiswürdigung maßgebenden
Erwägungen und die darauf gestützte Beurteilung der Rechtsfrage
klar und übersichtlich zusammenzufassen. Dies erfordert in einem
ersten Schritt die eindeutige – eine Rechtsverfolgung durch die
Partei im Wege einer nachprüfenden Kontrolle durch die Gerichtshöfe
des öffentlichen Rechts ermöglichende – konkrete Feststellung des
der Entscheidung zugrunde gelegten Sachverhalts, in einem zweiten
Schritt die Angabe jener Gründe, infolge derer bei Vorliegen
widerstreitender Beweisergebnisse in Ausübung der freien
Beweiswürdigung gerade jener Sachverhalt festgestellt wurde, und in
einem dritten Schritt die Darstellung der rechtlichen Erwägungen,
deren Ergebnisse zum Spruch der Entscheidung geführt haben Die
bloße Zitierung von Beweisergebnissen ist weder erforderlich noch
hinreichend (vgl VwGH 24. Juli 2017, Ro 2014/08/0043; VwGH 21. Juni
2017, Ra 2016/03/0086).</w:t>
            </w:r>
          </w:p>
          <w:p>
            <w:pPr>
              <w:widowControl w:val="on"/>
              <w:pBdr/>
              <w:spacing w:before="0" w:after="0" w:line="288" w:lineRule="auto"/>
              <w:ind w:left="0" w:right="0"/>
              <w:jc w:val="left"/>
              <w:textAlignment w:val="top"/>
            </w:pPr>
            <w:hyperlink w:anchor="link1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0963198" w:name="note17"/>
            <w:bookmarkEnd w:id="50963198"/>
            <w:bookmarkStart w:id="5804779932615" w:name="note17"/>
            <w:r>
              <w:rPr>
                <w:rFonts w:ascii="Arial" w:hAnsi="Arial" w:eastAsia="Arial" w:cs="Arial"/>
                <w:b/>
                <w:bCs/>
                <w:color w:val="000000"/>
                <w:position w:val="0"/>
                <w:sz w:val="20"/>
                <w:szCs w:val="20"/>
              </w:rPr>
              <w:t xml:space="preserve">[17]</w:t>
            </w:r>
            <w:bookmarkEnd w:id="580477993261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dazu etwa VwGH 6. Mai 2020, Ra 2019/08/0162.</w:t>
            </w:r>
          </w:p>
          <w:p>
            <w:pPr>
              <w:widowControl w:val="on"/>
              <w:pBdr/>
              <w:spacing w:before="0" w:after="0" w:line="288" w:lineRule="auto"/>
              <w:ind w:left="0" w:right="0"/>
              <w:jc w:val="left"/>
              <w:textAlignment w:val="top"/>
            </w:pPr>
            <w:hyperlink w:anchor="link1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542024" w:name="note18"/>
            <w:bookmarkEnd w:id="3542024"/>
            <w:bookmarkStart w:id="8970361657478" w:name="note18"/>
            <w:r>
              <w:rPr>
                <w:rFonts w:ascii="Arial" w:hAnsi="Arial" w:eastAsia="Arial" w:cs="Arial"/>
                <w:b/>
                <w:bCs/>
                <w:color w:val="000000"/>
                <w:position w:val="0"/>
                <w:sz w:val="20"/>
                <w:szCs w:val="20"/>
              </w:rPr>
              <w:t xml:space="preserve">[18]</w:t>
            </w:r>
            <w:bookmarkEnd w:id="897036165747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Hinsichtlich der Frage der Verfassungsmäßigkeit des § 28
Abs 1 AuslBG siehe ua VfGH 26. November 2018, G 219/2018 ua,
sowie VfGH 4. Oktober 2018, G 135/2018. Siehe in diesem
Zusammenhang (in Hinblick auf Unionskonformität) auch Urteil des
EuGH 12. September 2019, Maksimovic, verb Rechtssachen C-654/18,
C-140/18, C-146/18 und C-148/18; und VwGH 15. Oktober 2019, Ra
2019/11/0033.</w:t>
            </w:r>
          </w:p>
          <w:p>
            <w:pPr>
              <w:widowControl w:val="on"/>
              <w:pBdr/>
              <w:spacing w:before="0" w:after="0" w:line="288" w:lineRule="auto"/>
              <w:ind w:left="0" w:right="0"/>
              <w:jc w:val="left"/>
              <w:textAlignment w:val="top"/>
            </w:pPr>
            <w:hyperlink w:anchor="link18"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5689721" w:name="note19"/>
            <w:bookmarkEnd w:id="85689721"/>
            <w:bookmarkStart w:id="2640971322941" w:name="note19"/>
            <w:r>
              <w:rPr>
                <w:rFonts w:ascii="Arial" w:hAnsi="Arial" w:eastAsia="Arial" w:cs="Arial"/>
                <w:b/>
                <w:bCs/>
                <w:color w:val="000000"/>
                <w:position w:val="0"/>
                <w:sz w:val="20"/>
                <w:szCs w:val="20"/>
              </w:rPr>
              <w:t xml:space="preserve">[19]</w:t>
            </w:r>
            <w:bookmarkEnd w:id="264097132294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den Beschäftigungsbegriff ist ausschlaggebend, dass die
festgestellte Tätigkeit in persönlicher und wirtschaftlicher
Abhängigkeit des Arbeitenden ausgeübt wird, wobei als
Beschäftigungsverhältnis iSd § 2 Abs 2 leg cit auch eine
kurzfristige oder aushilfsweise Beschäftigung anzusehen ist (vgl
VwGH 25. März 2010, 2010/09/0052). Liegt eine Verwendung iSd
§ 2 Abs 2 AuslBG in einem Abhängigkeitsverhältnis vor,
das typischerweise den Inhalt eines Arbeitsverhältnisses oder
arbeiterähnlichen Verhältnisses bildet, ist von einer der
Beschäftigungsbewilligung nach dem AuslBG unterworfenen
Beschäftigung auszugehen (vgl VwGH 25. Februar 2004, 2001/09/0039;
VwGH 21. September 2005, 2004/09/0107). Sogenannte
Gefälligkeitsdienste fallen dann nicht unter den Begriff der
bewilligungspflichtigen Beschäftigung im Sinne des
§ 2 Abs 2 AuslBG, wenn sie nicht nur
kurzfristig, freiwillig und unentgeltlich, sondern auch aufgrund
spezifischer Bindungen zwischen dem Leistenden und dem
Leistungsempfänger erbracht werden (vgl VwGH 28. März 2017, Ra
2017/09/0011).</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Unterschied zwischen den Strafdrohungen nach § 28
Abs 1 Z 1 lit a und lit b (bzw Z 5) AuslBG
liegt nach dem VwGH darin, dass gemäß lit a das „Beschäftigen“
von Ausländern, in lit b hingegen das bloße „in Anspruch
nehmen“ von Arbeitsleistungen betriebsentsandter Ausländer ohne ein
zwischen einem inländischen Unternehmen und den Ausländern
bestehendes Beschäftigungsverhältnis unter Strafe gestellt wird.
Derjenige nimmt die Arbeitsleistung eines „betriebsentsandten
Ausländers“ in diesem Sinne „in Anspruch“, zur Erfüllung dessen
Werkes oder Auftrages die Arbeitsleistungen der vom ausländischen
Arbeitgeber beschäftigten Ausländer dienen. Dies ist dann der Fall,
wenn der Einsatz „betriebsentsandter Ausländer“ als
Erfüllungsgehilfen ihres ausländischen Arbeitgebers erfolgt, um
dessen Verpflichtung aus einem Werkvertrag gegenüber dem
inländischen Besteller zu erfüllen (vgl VwGH 21. Januar 2004,
2001/09/0230).</w:t>
            </w:r>
          </w:p>
          <w:p>
            <w:pPr>
              <w:widowControl w:val="on"/>
              <w:pBdr/>
              <w:spacing w:before="0" w:after="0" w:line="288" w:lineRule="auto"/>
              <w:ind w:left="0" w:right="0"/>
              <w:jc w:val="left"/>
              <w:textAlignment w:val="top"/>
            </w:pPr>
            <w:hyperlink w:anchor="link19"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9855946" w:name="note20"/>
            <w:bookmarkEnd w:id="59855946"/>
            <w:bookmarkStart w:id="654093143967" w:name="note20"/>
            <w:r>
              <w:rPr>
                <w:rFonts w:ascii="Arial" w:hAnsi="Arial" w:eastAsia="Arial" w:cs="Arial"/>
                <w:b/>
                <w:bCs/>
                <w:color w:val="000000"/>
                <w:position w:val="0"/>
                <w:sz w:val="20"/>
                <w:szCs w:val="20"/>
              </w:rPr>
              <w:t xml:space="preserve">[20]</w:t>
            </w:r>
            <w:bookmarkEnd w:id="65409314396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Schutzzweck des AuslBG liegt insgesamt darin, einerseits
inländische Arbeitsuchende vor einem ungehemmten,
wettbewerbsverzerrenden Einströmen ausländischer Arbeitskräfte zu
schützen, und andererseits den Interessen der heimischen Wirtschaft
dadurch Rechnung zu tragen, dass unter Vorgabe von
Kontingentierungen und staatlichen Kontrollen eine Deckung des
Arbeitskräftebedarfs, insbesondere in jenen Branchen, in welchen
erfahrungsgemäß inländische Arbeitskräfte schwer zu vermitteln
sind, sichergestellt wird. Die Folgen von Übertretungen des
§ 28 Abs 1 Z 1 lit a AuslBG sind in Hinblick
auf dessen Schutzzweck nicht unbedeutend (vgl VwGH 14. April 2021,
Ra 2019/09/0100; VwGH 19. November 2019, Ra 2019/09/0017; siehe
auch VwGH 23. November 2005, 2004/09/0152).</w:t>
            </w:r>
          </w:p>
          <w:p>
            <w:pPr>
              <w:widowControl w:val="on"/>
              <w:pBdr/>
              <w:spacing w:before="0" w:after="0" w:line="288" w:lineRule="auto"/>
              <w:ind w:left="0" w:right="0"/>
              <w:jc w:val="left"/>
              <w:textAlignment w:val="top"/>
            </w:pPr>
            <w:hyperlink w:anchor="link20"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7800999" w:name="note21"/>
            <w:bookmarkEnd w:id="67800999"/>
            <w:bookmarkStart w:id="3504820414275" w:name="note21"/>
            <w:r>
              <w:rPr>
                <w:rFonts w:ascii="Arial" w:hAnsi="Arial" w:eastAsia="Arial" w:cs="Arial"/>
                <w:b/>
                <w:bCs/>
                <w:color w:val="000000"/>
                <w:position w:val="0"/>
                <w:sz w:val="20"/>
                <w:szCs w:val="20"/>
              </w:rPr>
              <w:t xml:space="preserve">[21]</w:t>
            </w:r>
            <w:bookmarkEnd w:id="350482041427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Tatbild einer Übertretung gem § 28 Abs 1
Z 1 lit a iVm § 3 Abs 1 AuslBG ist nach
der Rechtsprechung des VwGH die Beschäftigung eines Ausländers ohne
entsprechende arbeitsmarktrechtliche Zulassung oder Bestätigung.
Bei der Frage, welche Zulassungen oder Bestätigungen im konkreten
Fall nicht vorhanden gewesen sind, handelt es sich demgegenüber um
kein Tatbestandselement (vgl VwGH 30. März 2016,
Ra 2016/09/0027; VwGH 3. Oktober 2013, 2012/09/0016).</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Zusammenhang mit gegebenenfalls Bedenken am vorgezeigten
Personalausweis des Arbeitnehmers bzw bezüglich der Frage, ob
weitere Nachforschungen hätten angestellt werden müssen, ist auf
die Rechtsprechung des VwGH zu verweisen, wonach weder ausländisch
klingende Namen noch das Aussehen oder die Sprache der betreffenden
Person einen Aufschluss über deren Staatsbürgerschaft oder darüber
geben, ob sie als eine vom Geltungsbereich des AuslBG ausgenommene
Person iSd § 1 Abs 2 AuslBG anzusehen ist (vgl VwGH
5. Februar 2005, 2003/09/0142).</w:t>
            </w:r>
          </w:p>
          <w:p>
            <w:pPr>
              <w:widowControl w:val="on"/>
              <w:pBdr/>
              <w:spacing w:before="0" w:after="0" w:line="288" w:lineRule="auto"/>
              <w:ind w:left="0" w:right="0"/>
              <w:jc w:val="left"/>
              <w:textAlignment w:val="top"/>
            </w:pPr>
            <w:hyperlink w:anchor="link2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9546667" w:name="note22"/>
            <w:bookmarkEnd w:id="69546667"/>
            <w:bookmarkStart w:id="5615340319881" w:name="note22"/>
            <w:r>
              <w:rPr>
                <w:rFonts w:ascii="Arial" w:hAnsi="Arial" w:eastAsia="Arial" w:cs="Arial"/>
                <w:b/>
                <w:bCs/>
                <w:color w:val="000000"/>
                <w:position w:val="0"/>
                <w:sz w:val="20"/>
                <w:szCs w:val="20"/>
              </w:rPr>
              <w:t xml:space="preserve">[22]</w:t>
            </w:r>
            <w:bookmarkEnd w:id="561534031988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dazu VwGH 23. Mai 2013, 2011/09/0212. Beachte in diesem
Zusammenhang die Regelung des § 18 Abs 12 AuslBG, die
eindeutig als Normadressaten für die Anzeige der Entsendung (auch)
den inländischen Auftraggeber nennt (vgl dazu VwGH 19. März 2014,
Ro 2014/09/0031). Auch vertragliche Abreden mit einem ausländischen
Subunternehmer über die Einholung von erforderlichen Genehmigungen
für eingesetzte Arbeitnehmer sind nicht ausreichend (vgl VwGH
26. Februar 2009, 2007/09/0380).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in diesem Zusammenhang ernennt § 18 Abs 12
AuslBG. Voraussetzung für die Erlangung einer
EU-Entsendebestätigung ist, dass die Ausländer zur Erbringung einer
vorübergehenden Arbeitsleistung in Erfüllung eines dem Unternehmen
mit Betriebssitz in einem anderen Mitgliedstaat des EWR erteilten
Auftrages entsandt werden (vgl VwGH 19. März 2014, 2013/09/0159).
Der objektive Unrechtsgehalt der angelasteten Tat kann nach dem
VwGH nicht als unbedeutend gewertet werden, weil die illegale
Beschäftigung von ausländischen Arbeitskräften auf
gesamtwirtschaftlicher Ebene zu volkswirtschaftlichen Schäden führt
(vgl VwGH 30. August 1991, 91/09/0022 und 91/09/0134).</w:t>
            </w:r>
          </w:p>
          <w:p>
            <w:pPr>
              <w:widowControl w:val="on"/>
              <w:pBdr/>
              <w:spacing w:before="0" w:after="0" w:line="288" w:lineRule="auto"/>
              <w:ind w:left="0" w:right="0"/>
              <w:jc w:val="left"/>
              <w:textAlignment w:val="top"/>
            </w:pPr>
            <w:hyperlink w:anchor="link2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0518615" w:name="note23"/>
            <w:bookmarkEnd w:id="40518615"/>
            <w:bookmarkStart w:id="5562348152357" w:name="note23"/>
            <w:r>
              <w:rPr>
                <w:rFonts w:ascii="Arial" w:hAnsi="Arial" w:eastAsia="Arial" w:cs="Arial"/>
                <w:b/>
                <w:bCs/>
                <w:color w:val="000000"/>
                <w:position w:val="0"/>
                <w:sz w:val="20"/>
                <w:szCs w:val="20"/>
              </w:rPr>
              <w:t xml:space="preserve">[23]</w:t>
            </w:r>
            <w:bookmarkEnd w:id="556234815235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Hierbei handelt es sich um eine Beweislastumkehr (vgl
</w:t>
            </w:r>
            <w:r>
              <w:rPr>
                <w:rFonts w:ascii="Arial" w:hAnsi="Arial" w:eastAsia="Arial" w:cs="Arial"/>
                <w:i/>
                <w:iCs/>
                <w:color w:val="000000"/>
                <w:position w:val="0"/>
                <w:sz w:val="20"/>
                <w:szCs w:val="20"/>
              </w:rPr>
              <w:t xml:space="preserve">Deutsch/Nowotny/Seitz</w:t>
            </w:r>
            <w:r>
              <w:rPr>
                <w:rFonts w:ascii="Arial" w:hAnsi="Arial" w:eastAsia="Arial" w:cs="Arial"/>
                <w:color w:val="000000"/>
                <w:position w:val="0"/>
                <w:sz w:val="20"/>
                <w:szCs w:val="20"/>
              </w:rPr>
              <w:t xml:space="preserve">, AuslBG, 2025, § 28,
Rz 20). Zu „betriebsfremden Orten“ siehe aus der
Rechtsprechung des VwGH 15. Mai 2008, 2007/09/0238; VwGH
20. Februar 2014, 2013/09/0046; VwGH 9. Juli 2020, Ra 2020/09/0019.
Ein Antreffen im – für alle zugänglichen – Gastraum, mag dies auch
im Eingangsbereich zur Theke sein, erlaubt nach dem VwGH nicht ohne
Weiteres eine Heranziehung der Vermutung des § 28 Abs 7
AuslBG (vgl VwGH 25. April 2017, Ra 2017/09/0012; VwGH 4. April
2024, Ra 2023/09/0183).</w:t>
            </w:r>
          </w:p>
          <w:p>
            <w:pPr>
              <w:widowControl w:val="on"/>
              <w:pBdr/>
              <w:spacing w:before="0" w:after="0" w:line="288" w:lineRule="auto"/>
              <w:ind w:left="0" w:right="0"/>
              <w:jc w:val="left"/>
              <w:textAlignment w:val="top"/>
            </w:pPr>
            <w:hyperlink w:anchor="link2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4904173" w:name="note24"/>
            <w:bookmarkEnd w:id="44904173"/>
            <w:bookmarkStart w:id="1374404599302" w:name="note24"/>
            <w:r>
              <w:rPr>
                <w:rFonts w:ascii="Arial" w:hAnsi="Arial" w:eastAsia="Arial" w:cs="Arial"/>
                <w:b/>
                <w:bCs/>
                <w:color w:val="000000"/>
                <w:position w:val="0"/>
                <w:sz w:val="20"/>
                <w:szCs w:val="20"/>
              </w:rPr>
              <w:t xml:space="preserve">[24]</w:t>
            </w:r>
            <w:bookmarkEnd w:id="137440459930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Beachte jedoch § 5 Abs 2 VStG, wonach die Unkenntnis
der Verwaltungsvorschrift, der der Täter zuwidergehandelt hat, nur
dann entschuldigt, wenn sie erwiesenermaßen unverschuldet ist und
der Täter das Unerlaubte seines Verhaltens ohne Kenntnis der
Verwaltungsvorschrift nicht einsehen konnte.</w:t>
            </w:r>
          </w:p>
          <w:p>
            <w:pPr>
              <w:widowControl w:val="on"/>
              <w:pBdr/>
              <w:spacing w:before="0" w:after="0" w:line="288" w:lineRule="auto"/>
              <w:ind w:left="0" w:right="0"/>
              <w:jc w:val="left"/>
              <w:textAlignment w:val="top"/>
            </w:pPr>
            <w:hyperlink w:anchor="link2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0581514" w:name="note25"/>
            <w:bookmarkEnd w:id="50581514"/>
            <w:bookmarkStart w:id="9731121203248" w:name="note25"/>
            <w:r>
              <w:rPr>
                <w:rFonts w:ascii="Arial" w:hAnsi="Arial" w:eastAsia="Arial" w:cs="Arial"/>
                <w:b/>
                <w:bCs/>
                <w:color w:val="000000"/>
                <w:position w:val="0"/>
                <w:sz w:val="20"/>
                <w:szCs w:val="20"/>
              </w:rPr>
              <w:t xml:space="preserve">[25]</w:t>
            </w:r>
            <w:bookmarkEnd w:id="973112120324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Übertretungen nach § 28 Abs 1 AuslBG sind
Ungehorsamsdelikte iSd § 5 Abs 1 VStG, weil zum
Tatbestand dieser Verwaltungsübertretung der Eintritt eines
Schadens oder einer Gefahr nicht gehört. Der
verwaltungsstrafrechtlich Verantwortliche ist dann strafbar, wenn
er nicht genügende Vorkehrungen getroffen hat, um die
Verwirklichung des Tatbildes durch den unmittelbaren Täter zu
verhindern. Bei Erfüllung des objektiven Tatbildes hat der
verwaltungsstrafrechtlich Verantwortliche daher glaubhaft zu
machen, dass ihn an der Verwaltungsübertretung kein Verschulden
trifft. Solange dies nicht der Fall ist, hat die Behörde
anzunehmen, dass der Verstoß bei gehöriger Aufmerksamkeit hätte
vermieden werden können (vgl VwGH 19. Oktober 2017, Ra
2017/09/0037). Vertrauen auf den Steuerberater, frühere Arbeitgeber
oder andere Behörden genügt in diesem Zusammenhang nicht (vgl VwGH
25. Januar 2013, 2012/09/0170). Zu Frage des Notstandes im
Zusammenhang mit durch COVID-19 hervorgerufenen Umständen siehe
LVwG-S-2770/001-2022 vom 30. Januar 2023 mit Verweis auf VwGH 12.
Juli 2021, Ra 2021/09/0161 und VwGH 24. November 1964, 0619/64.
Nach Letzterem ist ein Notstand dann nicht gegeben, wenn damit nur
eine wirtschaftliche Not oder die Möglichkeit einer
wirtschaftlichen Schädigung abgewendet werden soll. Wirtschaftliche
Nachteile können somit nur dann einen Notstand iSd § 6 VStG
begründen, wenn durch sie die Lebensverhältnisse selbst unmittelbar
bedroht sind (Verweis auf VwGH 22. März 1991, 88/18/0049).</w:t>
            </w:r>
          </w:p>
          <w:p>
            <w:pPr>
              <w:widowControl w:val="on"/>
              <w:pBdr/>
              <w:spacing w:before="0" w:after="0" w:line="288" w:lineRule="auto"/>
              <w:ind w:left="0" w:right="0"/>
              <w:jc w:val="left"/>
              <w:textAlignment w:val="top"/>
            </w:pPr>
            <w:hyperlink w:anchor="link2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3228217" w:name="note26"/>
            <w:bookmarkEnd w:id="43228217"/>
            <w:bookmarkStart w:id="4428126076641" w:name="note26"/>
            <w:r>
              <w:rPr>
                <w:rFonts w:ascii="Arial" w:hAnsi="Arial" w:eastAsia="Arial" w:cs="Arial"/>
                <w:b/>
                <w:bCs/>
                <w:color w:val="000000"/>
                <w:position w:val="0"/>
                <w:sz w:val="20"/>
                <w:szCs w:val="20"/>
              </w:rPr>
              <w:t xml:space="preserve">[26]</w:t>
            </w:r>
            <w:bookmarkEnd w:id="442812607664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verwaltungsstrafrechtliche Verantwortung iSd AuslBG trifft
grundsätzlich den Arbeitgeber bzw eine ihm gleichzuhaltende Person,
der betroffene Ausländer ist nicht strafbar. Allerdings trifft den
Letztgenannten die Auskunftspflicht nach § 26 Abs 1
AuslBG (vgl zu alledem </w:t>
            </w:r>
            <w:r>
              <w:rPr>
                <w:rFonts w:ascii="Arial" w:hAnsi="Arial" w:eastAsia="Arial" w:cs="Arial"/>
                <w:i/>
                <w:iCs/>
                <w:color w:val="000000"/>
                <w:position w:val="0"/>
                <w:sz w:val="20"/>
                <w:szCs w:val="20"/>
              </w:rPr>
              <w:t xml:space="preserve">Deutsch/Nowotny/Seitz</w:t>
            </w:r>
            <w:r>
              <w:rPr>
                <w:rFonts w:ascii="Arial" w:hAnsi="Arial" w:eastAsia="Arial" w:cs="Arial"/>
                <w:color w:val="000000"/>
                <w:position w:val="0"/>
                <w:sz w:val="20"/>
                <w:szCs w:val="20"/>
              </w:rPr>
              <w:t xml:space="preserve">, AuslBG,
2025, § 28, Rz 14 ff mwN). Zur Auskunftspflicht des
Arbeitgebers siehe ua VwGH 30. Juni 2004, 2001/09/0066. Jeder
Gesellschafter einer Gesellschaft bürgerlichen Rechts ist als
Beschäftiger nach dem AuslBG strafrechtlich verantwortlich (vgl
VwGH 16. Dezember 2008, 2007/09/0375). Bezüglich eines
Geschäftsführerwechsels siehe VwGH 25. Mai 2008 zu 2008/09/0117.
Auch eine Privatperson kann Beschäftiger iSd § 28 Abs 1
AuslBG sein (vgl VwGH 13. Dezember 2016, Ra 2016/09/0099). Der
verwaltungsstrafrechtlich Verantwortliche hat nach dem VwGH durch
seine Kontrollen dafür zu sorgen, dass die Bestimmungen des AuslBG
von dem von ihm repräsentierten Unternehmen eingehalten werden (vgl
VwGH 23. Mai 2013, 2011/09/0212). Die Kontrollpflicht des
Arbeitgebers beschränkt sich darauf, unmittelbar sichtbare, ohne
besondere Kenntnisse bzw technische Hilfsmittel erkennbare Mängel,
Verfälschungen oder Fälschungen einer vom Ausländer vorgelegten
Urkunde aufzudecken bzw wahrzunehmen (vgl VwGH 25. Februar 2005,
2003/09/0142). Die bloße Erteilung von Weisungen oder Belehrungen
ist nach dem VwGH nicht ausreichend, entscheidend ist, ob eine
wirksame Kontrolle der vom Verantwortlichen erteilten Weisungen
erfolgt ist, wobei selbst kurzfristige, stichprobenartige
Kontrollen nicht genügen, um die Annahme zu rechtfertigen, ein
wirksames Kontrollsystem, von dem mit gutem Grund erwartet werden
kann, dass es die tatsächliche Einhaltung des AuslBG sicherstellt,
liegt vor (vgl VwGH 15. September 2011, 2011/09/0146; VwGH 13.
Dezember 2024, Ra 2024/09/0085). Ein Arbeitgeber hat sich von der
Zulässigkeit der Beschäftigung eines Ausländers grundsätzlich vor
Arbeitsantritt zu überzeugen und unterliegen auch lediglich
kurzfristige Beschäftigungsverhältnisse grundsätzlich dem AuslBG
(vgl VwGH 23. April 2025, Ra 2025/09/0007, mwN).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Zur Verantwortlichkeit idS AuslBG siehe auch § 9 VStG. Die
Zuweisung der „Verantwortung“ an ein Vorstandsmitglied durch die
unternehmensinterne Geschäftsverteilung (auch mit Zustimmung dieses
Vorstandsmitgliedes) stellt für sich genommen noch keine Bestellung
als „verantwortlicher Beauftragter“ für die Einhaltung der
Verwaltungsvorschriften gem § 9 Abs 2 S 1 VStG dar,
sondern müsste sich ein derartiger Übertragungsakt - anders als die
Übertragung der unternehmensinternen Verantwortung - hinreichend
klar erkennbar (auch) auf die spezifische
verwaltungsstrafrechtliche Verantwortung im Verständnis des
(österreichischen) Verwaltungsstrafgesetzes beziehen (vgl VwGH 21.
August 2024, Ra 2024/09/0049). Zur „Generalunternehmerhaftung“ nach
§ 28 Abs 6 Z 2 AuslBG siehe ua VwGH 28. Januar 2025,
Ra 2024/09/0071.</w:t>
            </w:r>
          </w:p>
          <w:p>
            <w:pPr>
              <w:widowControl w:val="on"/>
              <w:pBdr/>
              <w:spacing w:before="0" w:after="0" w:line="288" w:lineRule="auto"/>
              <w:ind w:left="0" w:right="0"/>
              <w:jc w:val="left"/>
              <w:textAlignment w:val="top"/>
            </w:pPr>
            <w:hyperlink w:anchor="link2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8215067" w:name="note27"/>
            <w:bookmarkEnd w:id="38215067"/>
            <w:bookmarkStart w:id="4649317552536" w:name="note27"/>
            <w:r>
              <w:rPr>
                <w:rFonts w:ascii="Arial" w:hAnsi="Arial" w:eastAsia="Arial" w:cs="Arial"/>
                <w:b/>
                <w:bCs/>
                <w:color w:val="000000"/>
                <w:position w:val="0"/>
                <w:sz w:val="20"/>
                <w:szCs w:val="20"/>
              </w:rPr>
              <w:t xml:space="preserve">[27]</w:t>
            </w:r>
            <w:bookmarkEnd w:id="464931755253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die Bestimmungen des AuslBG nicht anzuwenden sind, kann den
Ausländer weder die Mitwirkungspflicht des § 26 Abs 1
AuslBG, noch die damit korrespondierende Strafbestimmung des
§ 28 Abs 1 Z 2 lit c AuslBG treffen (siehe VwGH
4. Dezember 2024, Ra 2024/09/0056). Hinsichtlich § 1
Abs 2 lit a AuslBG betreffend Ausländer, den der Status
eines Asylberechtigten gem § 3 AsylG 2005 oder der Status
eines subsidiär Schutzberechtigten gem § 8 AsylG 2005
zuerkannt wurde, siehe VwGH 17. März 2023, Ra 2023/09/0008.</w:t>
            </w:r>
          </w:p>
          <w:p>
            <w:pPr>
              <w:widowControl w:val="on"/>
              <w:pBdr/>
              <w:spacing w:before="0" w:after="0" w:line="288" w:lineRule="auto"/>
              <w:ind w:left="0" w:right="0"/>
              <w:jc w:val="left"/>
              <w:textAlignment w:val="top"/>
            </w:pPr>
            <w:hyperlink w:anchor="link2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2339616" w:name="note28"/>
            <w:bookmarkEnd w:id="42339616"/>
            <w:bookmarkStart w:id="4688973600265" w:name="note28"/>
            <w:r>
              <w:rPr>
                <w:rFonts w:ascii="Arial" w:hAnsi="Arial" w:eastAsia="Arial" w:cs="Arial"/>
                <w:b/>
                <w:bCs/>
                <w:color w:val="000000"/>
                <w:position w:val="0"/>
                <w:sz w:val="20"/>
                <w:szCs w:val="20"/>
              </w:rPr>
              <w:t xml:space="preserve">[28]</w:t>
            </w:r>
            <w:bookmarkEnd w:id="468897360026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VwGH hat in seiner Entscheidung vom 22. März 2022 zu Ra
2021/10/0075 festgehalten, dass sich eine die Verfolgungsverjährung
nach § 31 VStG unterbrechende Verfolgungshandlung nach
§ 32 Abs 2 VStG auf eine bestimmte physische Person
als Beschuldigten, eine bestimmte Tatzeit, den ausreichend zu
konkretisierenden Tatort und sämtliche Tatbestandselemente der
durch die Tat verletzten Verwaltungsvorschrift zu beziehen hat. In
diesem Stadium des Verfahrens kommt es auf eine (zutreffende)
rechtliche Qualifikation des Verhaltens im Zusammenhang mit der
Verfolgungshandlung jedoch (noch) nicht an (vgl VwGH 11. März 2022,
Ra 2021/08/0071). Bei einer zu einem bestimmten Zeitpunkt
abgeschlossenen Übertretung kommt es auf den Tatort zum
Tatzeitpunkt an (siehe VwGH 20. August 2024, Ra 2024/09/0038).</w:t>
            </w:r>
          </w:p>
          <w:p>
            <w:pPr>
              <w:widowControl w:val="on"/>
              <w:pBdr/>
              <w:spacing w:before="0" w:after="0" w:line="288" w:lineRule="auto"/>
              <w:ind w:left="0" w:right="0"/>
              <w:jc w:val="left"/>
              <w:textAlignment w:val="top"/>
            </w:pPr>
            <w:hyperlink w:anchor="link28"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5252531" w:name="note29"/>
            <w:bookmarkEnd w:id="35252531"/>
            <w:bookmarkStart w:id="1332525090941" w:name="note29"/>
            <w:r>
              <w:rPr>
                <w:rFonts w:ascii="Arial" w:hAnsi="Arial" w:eastAsia="Arial" w:cs="Arial"/>
                <w:b/>
                <w:bCs/>
                <w:color w:val="000000"/>
                <w:position w:val="0"/>
                <w:sz w:val="20"/>
                <w:szCs w:val="20"/>
              </w:rPr>
              <w:t xml:space="preserve">[29]</w:t>
            </w:r>
            <w:bookmarkEnd w:id="133252509094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der Strafbemessung handelt es sich laut VwGH innerhalb eines
gesetzlichen Strafrahmens um eine Ermessensentscheidung, die nach
den Kriterien des § 19 VStG vorzunehmen ist (siehe dazu
ausführlich ua VwGH 22. November 2022, Ra 2022/06/0199).
§ 22 Abs 2 VStG normiert das sog Kumulationsprinzip,
damit also Bestrafung jedes Delikts (vgl
</w:t>
            </w:r>
            <w:r>
              <w:rPr>
                <w:rFonts w:ascii="Arial" w:hAnsi="Arial" w:eastAsia="Arial" w:cs="Arial"/>
                <w:i/>
                <w:iCs/>
                <w:color w:val="000000"/>
                <w:position w:val="0"/>
                <w:sz w:val="20"/>
                <w:szCs w:val="20"/>
              </w:rPr>
              <w:t xml:space="preserve">Kolonovits/Muzak/Stöger</w:t>
            </w:r>
            <w:r>
              <w:rPr>
                <w:rFonts w:ascii="Arial" w:hAnsi="Arial" w:eastAsia="Arial" w:cs="Arial"/>
                <w:color w:val="000000"/>
                <w:position w:val="0"/>
                <w:sz w:val="20"/>
                <w:szCs w:val="20"/>
              </w:rPr>
              <w:t xml:space="preserve">, Verwaltungsverfahrensrecht, 2019,
Rz 1059). Für den Fall, dass die erstinstanzliche Behörde
gegen das Kumulationsprinzip des § 22 VStG verstößt, indem es
eine Gesamtstrafe anstelle von Einzelstrafen pro betroffene
Arbeitnehmer verhängt hat, hat das VwG mehrere Einzelstrafen zu
verhängen, die Gesamtstrafe ist also „aufzuteilen“ (vgl VwGH 7.
Oktober 2013, 2013/17/0274; VwGH 16. Dezember 2011, 2010/02/0105).
Beachte auch die besonderen Erschwerungsgründe in § 28
Abs 5 AuslBG, wonach die Bezirksverwaltungsbehörde bei
Übertretungen nach Abs 1 Z 1 die unberechtigte
Beschäftigung eines Ausländers zu schlechteren Lohn- und
Arbeitsbedingungen als sie die jeweils anzuwendenden Normen der
kollektiven Rechtsgestaltung vorsehen, bei der Strafbemessung als
besonders erschwerend zu berücksichtigen hat. Vgl auch §§ 19a
ff VStG sowie § 32 Abs 2 StGB. Beachte zudem den
Milderungsgrund bei Mitwirkung an der Feststellung des Sachverhalts
iSd § 34 Abs 1 Z 17 StGB (dazu VwGH 25. April 2018,
Ra 2017/09/0044). Zur Berücksichtigung einer unverhältnismäßig
langen Verfahrensdauer als Milderungsgrund siehe VwGH 21. April
2020, Ra 2020/17/0018; VfGH 6. Juni 2013, B 1359/2012.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Hinblick auf das Verbot der „</w:t>
            </w:r>
            <w:r>
              <w:rPr>
                <w:rFonts w:ascii="Arial" w:hAnsi="Arial" w:eastAsia="Arial" w:cs="Arial"/>
                <w:i/>
                <w:iCs/>
                <w:color w:val="000000"/>
                <w:position w:val="0"/>
                <w:sz w:val="20"/>
                <w:szCs w:val="20"/>
              </w:rPr>
              <w:t xml:space="preserve">reformatio in peius“</w:t>
            </w:r>
            <w:r>
              <w:rPr>
                <w:rFonts w:ascii="Arial" w:hAnsi="Arial" w:eastAsia="Arial" w:cs="Arial"/>
                <w:color w:val="000000"/>
                <w:position w:val="0"/>
                <w:sz w:val="20"/>
                <w:szCs w:val="20"/>
              </w:rPr>
              <w:t xml:space="preserve">
siehe die Entscheidung des VwGH 29. Januar 2021, Ra 2021/09/0003,
wonach ein Verstoß gegen das Verbot
der „</w:t>
            </w:r>
            <w:r>
              <w:rPr>
                <w:rFonts w:ascii="Arial" w:hAnsi="Arial" w:eastAsia="Arial" w:cs="Arial"/>
                <w:i/>
                <w:iCs/>
                <w:color w:val="000000"/>
                <w:position w:val="0"/>
                <w:sz w:val="20"/>
                <w:szCs w:val="20"/>
              </w:rPr>
              <w:t xml:space="preserve">reformatio in peius“</w:t>
            </w:r>
            <w:r>
              <w:rPr>
                <w:rFonts w:ascii="Arial" w:hAnsi="Arial" w:eastAsia="Arial" w:cs="Arial"/>
                <w:color w:val="000000"/>
                <w:position w:val="0"/>
                <w:sz w:val="20"/>
                <w:szCs w:val="20"/>
              </w:rPr>
              <w:t xml:space="preserve"> auch dann
nicht vorliegt, wenn das VwG im Rahmen der vorzunehmenden eigenen
Bewertung von Milderungs- und Erschwerungsgründen trotz Wegfalls
eines von der Verwaltungsstrafbehörde für die Bemessung der Strafe
herangezogenen Erschwerungsgrundes die verhängte Strafe nicht
herabsetzt, wenn es in der Lage ist zu begründen, dass andere
Umstände vorlagen, die es rechtfertigen, das Ausmaß der verhängten
Strafe für angemessen zu halten. Zu Frage einer
außerordentlichen Milderung der Strafe nach § 20 VStG im
Zusammenhang mit einer Beschäftigung von Vertriebenen aus der
Ukraine siehe LVwG 33.15-7406/2022 vom 3. Januar 2023.</w:t>
            </w:r>
          </w:p>
          <w:p>
            <w:pPr>
              <w:widowControl w:val="on"/>
              <w:pBdr/>
              <w:spacing w:before="0" w:after="0" w:line="288" w:lineRule="auto"/>
              <w:ind w:left="0" w:right="0"/>
              <w:jc w:val="left"/>
              <w:textAlignment w:val="top"/>
            </w:pPr>
            <w:hyperlink w:anchor="link29"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2085993" w:name="note30"/>
            <w:bookmarkEnd w:id="72085993"/>
            <w:bookmarkStart w:id="6717676121748" w:name="note30"/>
            <w:r>
              <w:rPr>
                <w:rFonts w:ascii="Arial" w:hAnsi="Arial" w:eastAsia="Arial" w:cs="Arial"/>
                <w:b/>
                <w:bCs/>
                <w:color w:val="000000"/>
                <w:position w:val="0"/>
                <w:sz w:val="20"/>
                <w:szCs w:val="20"/>
              </w:rPr>
              <w:t xml:space="preserve">[30]</w:t>
            </w:r>
            <w:bookmarkEnd w:id="671767612174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44 Abs 1 VwGVG hat das VwG eine öffentliche
mündliche Verhandlung durchzuführen. Eine solche kann nur unter den
in Abs 2 bis 5 leg cit genannten
Voraussetzungen ausbleiben. Wird jedoch ein Antrag gestellt, darf
von der Durchführung einer mündlichen Verhandlung nicht abgesehen
werden (vgl § 44 Abs 5 VwGVG; siehe dazu
</w:t>
            </w:r>
            <w:r>
              <w:rPr>
                <w:rFonts w:ascii="Arial" w:hAnsi="Arial" w:eastAsia="Arial" w:cs="Arial"/>
                <w:i/>
                <w:iCs/>
                <w:color w:val="000000"/>
                <w:position w:val="0"/>
                <w:sz w:val="20"/>
                <w:szCs w:val="20"/>
              </w:rPr>
              <w:t xml:space="preserve">Kolonovits/Muzak/Stöger</w:t>
            </w:r>
            <w:r>
              <w:rPr>
                <w:rFonts w:ascii="Arial" w:hAnsi="Arial" w:eastAsia="Arial" w:cs="Arial"/>
                <w:color w:val="000000"/>
                <w:position w:val="0"/>
                <w:sz w:val="20"/>
                <w:szCs w:val="20"/>
              </w:rPr>
              <w:t xml:space="preserve">, Verwaltungsverfahrensrecht, 2019,
Rz 1207, Fn 539). Nach der Rechtsprechung des VwGH gilt der
Grundsatz der mündlichen Verhandlung in Verwaltungsstrafsachen auch
nach Aufhebung von Erkenntnissen des VwG im zweiten Rechtsgang,
selbst wenn im ersten Rechtsgang eine mündliche Verhandlung
stattgefunden hat, sodass das VwG auch im zweiten Rechtsgang nur
von der Durchführung einer mündlichen Verhandlung absehen kann,
wenn die Voraussetzungen des § 44 VwGVG vorliegen (vgl VwGH
29. September 2020, Ra 2020/17/0074).</w:t>
            </w:r>
          </w:p>
          <w:p>
            <w:pPr>
              <w:widowControl w:val="on"/>
              <w:pBdr/>
              <w:spacing w:before="0" w:after="0" w:line="288" w:lineRule="auto"/>
              <w:ind w:left="0" w:right="0"/>
              <w:jc w:val="left"/>
              <w:textAlignment w:val="top"/>
            </w:pPr>
            <w:hyperlink w:anchor="link30"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2211596" w:name="note31"/>
            <w:bookmarkEnd w:id="42211596"/>
            <w:bookmarkStart w:id="2421654498762" w:name="note31"/>
            <w:r>
              <w:rPr>
                <w:rFonts w:ascii="Arial" w:hAnsi="Arial" w:eastAsia="Arial" w:cs="Arial"/>
                <w:b/>
                <w:bCs/>
                <w:color w:val="000000"/>
                <w:position w:val="0"/>
                <w:sz w:val="20"/>
                <w:szCs w:val="20"/>
              </w:rPr>
              <w:t xml:space="preserve">[31]</w:t>
            </w:r>
            <w:bookmarkEnd w:id="242165449876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Antrag auf Zuerkennung der aufschiebenden Wirkung ist nicht
notwendig, da diese in Verwaltungsstrafsachen nicht ausgeschlossen
werden darf (§§ 41 iVm 13 Abs 1 VwGVG).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Verfahren über Beschwerden gemäß Art 130 Abs 1
Z 1 B-VG steht es der Behörde nach § 14 Abs 1 VwGVG
frei, den angefochtenen Bescheid innerhalb von zwei Monaten
aufzuheben, abzuändern oder die Beschwerde zurückzuweisen oder
abzuweisen (Beschwerdevorentscheidung). Beachte jedoch § 42
VwGVG (Verbot der „</w:t>
            </w:r>
            <w:r>
              <w:rPr>
                <w:rFonts w:ascii="Arial" w:hAnsi="Arial" w:eastAsia="Arial" w:cs="Arial"/>
                <w:i/>
                <w:iCs/>
                <w:color w:val="000000"/>
                <w:position w:val="0"/>
                <w:sz w:val="20"/>
                <w:szCs w:val="20"/>
              </w:rPr>
              <w:t xml:space="preserve">reformatio in peius“</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Zum Recht auf Beiziehung von Dolmetschern und Übersetzern siehe
§ 38a VwGVG.</w:t>
            </w:r>
          </w:p>
          <w:p>
            <w:pPr>
              <w:widowControl w:val="on"/>
              <w:pBdr/>
              <w:spacing w:before="0" w:after="0" w:line="288" w:lineRule="auto"/>
              <w:ind w:left="0" w:right="0"/>
              <w:jc w:val="left"/>
              <w:textAlignment w:val="top"/>
            </w:pPr>
            <w:hyperlink w:anchor="link3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1641615" w:name="note32"/>
            <w:bookmarkEnd w:id="61641615"/>
            <w:bookmarkStart w:id="7494953806034" w:name="note32"/>
            <w:r>
              <w:rPr>
                <w:rFonts w:ascii="Arial" w:hAnsi="Arial" w:eastAsia="Arial" w:cs="Arial"/>
                <w:b/>
                <w:bCs/>
                <w:color w:val="000000"/>
                <w:position w:val="0"/>
                <w:sz w:val="20"/>
                <w:szCs w:val="20"/>
              </w:rPr>
              <w:t xml:space="preserve">[32]</w:t>
            </w:r>
            <w:bookmarkEnd w:id="749495380603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Beachte, dass gem § 34 Abs 1 VwGVG das VwG
grundsätzlich verpflichtet ist, über Beschwerden ohne unnötigen
Aufschub, spätestens aber sechs Monate nach deren Einlangen zu
entscheiden. Die sechsmonatige Entscheidungsfrist des § 34
Abs 1 VwGVG gilt nach dem VwGH jedoch im
verwaltungsgerichtlichen Strafverfahren nur in jenen Fällen, in
denen nicht vom Beschuldigten Beschwerde erhoben wird sowie in
einem Wiedereinsetzungs- oder Wiederaufnahmeverfahren. Bei der
Regelung der 15-Monate-Frist handelt es sich in diesem Sinne
hiernach auch um die Festlegung einer längeren – als der im
Regelfall vorgesehenen sechsmonatigen – Frist zur Entscheidung
des VwG gem § 38 Abs 1 VwGG und § 34 Abs 1
VwGVG (vgl VwGH 18. Dezember 2014, Fr 2014/01/0048). Nach § 43
Abs 1 VwGVG tritt das Straferkenntnis von Gesetzes wegen außer
Kraft und das Verfahren ist einzustellen, wenn seit dem Einlangen
einer rechtzeitig eingebrachten und zulässigen Beschwerde des
Beschuldigten gegen ein Straferkenntnis bei der Behörde
15 Monate vergangen sind (beachte Verfahrensunterbrechungen
nach § 43 Abs 2 VwGVG).</w:t>
            </w:r>
          </w:p>
          <w:p>
            <w:pPr>
              <w:widowControl w:val="on"/>
              <w:pBdr/>
              <w:spacing w:before="0" w:after="0" w:line="288" w:lineRule="auto"/>
              <w:ind w:left="0" w:right="0"/>
              <w:jc w:val="left"/>
              <w:textAlignment w:val="top"/>
            </w:pPr>
            <w:hyperlink w:anchor="link3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2096944" w:name="note33"/>
            <w:bookmarkEnd w:id="32096944"/>
            <w:bookmarkStart w:id="319687603339" w:name="note33"/>
            <w:r>
              <w:rPr>
                <w:rFonts w:ascii="Arial" w:hAnsi="Arial" w:eastAsia="Arial" w:cs="Arial"/>
                <w:b/>
                <w:bCs/>
                <w:color w:val="000000"/>
                <w:position w:val="0"/>
                <w:sz w:val="20"/>
                <w:szCs w:val="20"/>
              </w:rPr>
              <w:t xml:space="preserve">[33]</w:t>
            </w:r>
            <w:bookmarkEnd w:id="31968760333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Art 130 Abs 4 B-VG hat in Verwaltungsstrafsachen
das VwG in der Sache selbst zu entscheiden.</w:t>
            </w:r>
          </w:p>
          <w:p>
            <w:pPr>
              <w:widowControl w:val="on"/>
              <w:pBdr/>
              <w:spacing w:before="0" w:after="0" w:line="288" w:lineRule="auto"/>
              <w:ind w:left="0" w:right="0"/>
              <w:jc w:val="left"/>
              <w:textAlignment w:val="top"/>
            </w:pPr>
            <w:hyperlink w:anchor="link3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0551843" w:name="note34"/>
            <w:bookmarkEnd w:id="60551843"/>
            <w:bookmarkStart w:id="6561462647021" w:name="note34"/>
            <w:r>
              <w:rPr>
                <w:rFonts w:ascii="Arial" w:hAnsi="Arial" w:eastAsia="Arial" w:cs="Arial"/>
                <w:b/>
                <w:bCs/>
                <w:color w:val="000000"/>
                <w:position w:val="0"/>
                <w:sz w:val="20"/>
                <w:szCs w:val="20"/>
              </w:rPr>
              <w:t xml:space="preserve">[34]</w:t>
            </w:r>
            <w:bookmarkEnd w:id="656146264702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Falle der Z 4 kann die Behörde gem § 45 Abs 1
letzter Satz VwGVG anstatt die Einstellung zu verfügen, dem
Beschuldigten unter Hinweis auf die Rechtswidrigkeit seines
Verhaltens mit Bescheid eine Ermahnung erteilen, wenn dies geboten
erscheint, um ihn von der Begehung strafbarer Handlungen gleicher
Art abzuhalten. Die Einstellung des Verfahrens setzt nach der
Rechtsprechung des VwGH voraus, dass die im § 45 Abs 1
Z 4 VStG genannten Umstände – geringe Bedeutung des
strafrechtlich geschützten Rechtsgutes, geringe Intensität der
Beeinträchtigung dieses Rechtsgutes durch die Tat sowie geringes
Verschulden – kumulativ vorliegen (vgl VwGH 21. Februar
2019, Ra 2018/09/0132; VwGH 25. April 2019, Ra 2018/09/0209). Siehe
dazu auch VwGH 4. September 2006, 2005/09/0073; VwGH 19. September
2009, 99/09/0264.</w:t>
            </w:r>
          </w:p>
          <w:p>
            <w:pPr>
              <w:widowControl w:val="on"/>
              <w:pBdr/>
              <w:spacing w:before="0" w:after="0" w:line="288" w:lineRule="auto"/>
              <w:ind w:left="0" w:right="0"/>
              <w:jc w:val="left"/>
              <w:textAlignment w:val="top"/>
            </w:pPr>
            <w:hyperlink w:anchor="link3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2442582" w:name="note35"/>
            <w:bookmarkEnd w:id="72442582"/>
            <w:bookmarkStart w:id="4109880184506" w:name="note35"/>
            <w:r>
              <w:rPr>
                <w:rFonts w:ascii="Arial" w:hAnsi="Arial" w:eastAsia="Arial" w:cs="Arial"/>
                <w:b/>
                <w:bCs/>
                <w:color w:val="000000"/>
                <w:position w:val="0"/>
                <w:sz w:val="20"/>
                <w:szCs w:val="20"/>
              </w:rPr>
              <w:t xml:space="preserve">[35]</w:t>
            </w:r>
            <w:bookmarkEnd w:id="410988018450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Beachte, dass Kosten des verwaltungsbehördlichen Verfahrens gem
§ 38 VwGVG iVm § 64 VStG gemäßigt werden können.</w:t>
            </w:r>
          </w:p>
          <w:p>
            <w:pPr>
              <w:widowControl w:val="on"/>
              <w:pBdr/>
              <w:spacing w:before="0" w:after="0" w:line="288" w:lineRule="auto"/>
              <w:ind w:left="0" w:right="0"/>
              <w:jc w:val="left"/>
              <w:textAlignment w:val="top"/>
            </w:pPr>
            <w:hyperlink w:anchor="link3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3562540" w:name="note36"/>
            <w:bookmarkEnd w:id="83562540"/>
            <w:bookmarkStart w:id="2001130365745" w:name="note36"/>
            <w:r>
              <w:rPr>
                <w:rFonts w:ascii="Arial" w:hAnsi="Arial" w:eastAsia="Arial" w:cs="Arial"/>
                <w:b/>
                <w:bCs/>
                <w:color w:val="000000"/>
                <w:position w:val="0"/>
                <w:sz w:val="20"/>
                <w:szCs w:val="20"/>
              </w:rPr>
              <w:t xml:space="preserve">[36]</w:t>
            </w:r>
            <w:bookmarkEnd w:id="200113036574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auch § 52 Abs 8 VwGVG, wonach die Kosten des
Beschwerdeverfahrens dem Beschwerdeführer nicht aufzuerlegen sind,
wenn der Beschwerde auch nur teilweise Folge gegeben worden
ist.</w:t>
            </w:r>
          </w:p>
          <w:p>
            <w:pPr>
              <w:widowControl w:val="on"/>
              <w:pBdr/>
              <w:spacing w:before="0" w:after="0" w:line="288" w:lineRule="auto"/>
              <w:ind w:left="0" w:right="0"/>
              <w:jc w:val="left"/>
              <w:textAlignment w:val="top"/>
            </w:pPr>
            <w:hyperlink w:anchor="link36"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123025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200861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715513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1132120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332439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0556061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9790325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6666053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592792">
    <w:multiLevelType w:val="hybridMultilevel"/>
    <w:lvl w:ilvl="0" w:tplc="22379270">
      <w:start w:val="1"/>
      <w:numFmt w:val="decimal"/>
      <w:lvlText w:val="%1."/>
      <w:lvlJc w:val="left"/>
      <w:pPr>
        <w:ind w:left="720" w:hanging="360"/>
      </w:pPr>
    </w:lvl>
    <w:lvl w:ilvl="1" w:tplc="22379270" w:tentative="1">
      <w:start w:val="1"/>
      <w:numFmt w:val="lowerLetter"/>
      <w:lvlText w:val="%2."/>
      <w:lvlJc w:val="left"/>
      <w:pPr>
        <w:ind w:left="1440" w:hanging="360"/>
      </w:pPr>
    </w:lvl>
    <w:lvl w:ilvl="2" w:tplc="22379270" w:tentative="1">
      <w:start w:val="1"/>
      <w:numFmt w:val="lowerRoman"/>
      <w:lvlText w:val="%3."/>
      <w:lvlJc w:val="right"/>
      <w:pPr>
        <w:ind w:left="2160" w:hanging="180"/>
      </w:pPr>
    </w:lvl>
    <w:lvl w:ilvl="3" w:tplc="22379270" w:tentative="1">
      <w:start w:val="1"/>
      <w:numFmt w:val="decimal"/>
      <w:lvlText w:val="%4."/>
      <w:lvlJc w:val="left"/>
      <w:pPr>
        <w:ind w:left="2880" w:hanging="360"/>
      </w:pPr>
    </w:lvl>
    <w:lvl w:ilvl="4" w:tplc="22379270" w:tentative="1">
      <w:start w:val="1"/>
      <w:numFmt w:val="lowerLetter"/>
      <w:lvlText w:val="%5."/>
      <w:lvlJc w:val="left"/>
      <w:pPr>
        <w:ind w:left="3600" w:hanging="360"/>
      </w:pPr>
    </w:lvl>
    <w:lvl w:ilvl="5" w:tplc="22379270" w:tentative="1">
      <w:start w:val="1"/>
      <w:numFmt w:val="lowerRoman"/>
      <w:lvlText w:val="%6."/>
      <w:lvlJc w:val="right"/>
      <w:pPr>
        <w:ind w:left="4320" w:hanging="180"/>
      </w:pPr>
    </w:lvl>
    <w:lvl w:ilvl="6" w:tplc="22379270" w:tentative="1">
      <w:start w:val="1"/>
      <w:numFmt w:val="decimal"/>
      <w:lvlText w:val="%7."/>
      <w:lvlJc w:val="left"/>
      <w:pPr>
        <w:ind w:left="5040" w:hanging="360"/>
      </w:pPr>
    </w:lvl>
    <w:lvl w:ilvl="7" w:tplc="22379270" w:tentative="1">
      <w:start w:val="1"/>
      <w:numFmt w:val="lowerLetter"/>
      <w:lvlText w:val="%8."/>
      <w:lvlJc w:val="left"/>
      <w:pPr>
        <w:ind w:left="5760" w:hanging="360"/>
      </w:pPr>
    </w:lvl>
    <w:lvl w:ilvl="8" w:tplc="22379270" w:tentative="1">
      <w:start w:val="1"/>
      <w:numFmt w:val="lowerRoman"/>
      <w:lvlText w:val="%9."/>
      <w:lvlJc w:val="right"/>
      <w:pPr>
        <w:ind w:left="6480" w:hanging="180"/>
      </w:pPr>
    </w:lvl>
  </w:abstractNum>
  <w:abstractNum w:abstractNumId="10592791">
    <w:multiLevelType w:val="hybridMultilevel"/>
    <w:lvl w:ilvl="0" w:tplc="785179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592791">
    <w:abstractNumId w:val="10592791"/>
  </w:num>
  <w:num w:numId="10592792">
    <w:abstractNumId w:val="10592792"/>
  </w:num>
  <w:num w:numId="366660535">
    <w:abstractNumId w:val="366660535"/>
  </w:num>
  <w:num w:numId="997903250">
    <w:abstractNumId w:val="997903250"/>
  </w:num>
  <w:num w:numId="605560612">
    <w:abstractNumId w:val="605560612"/>
  </w:num>
  <w:num w:numId="473324391">
    <w:abstractNumId w:val="473324391"/>
  </w:num>
  <w:num w:numId="711321205">
    <w:abstractNumId w:val="711321205"/>
  </w:num>
  <w:num w:numId="37155138">
    <w:abstractNumId w:val="37155138"/>
  </w:num>
  <w:num w:numId="92008616">
    <w:abstractNumId w:val="92008616"/>
  </w:num>
  <w:num w:numId="861230251">
    <w:abstractNumId w:val="8612302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79478869" Type="http://schemas.openxmlformats.org/officeDocument/2006/relationships/numbering" Target="numbering.xml"/><Relationship Id="rId94568676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