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9304329" w:name="document"/>
    <w:bookmarkEnd w:id="99304329"/>
    <w:p/>
    <w:p>
      <w:pPr>
        <w:widowControl w:val="on"/>
        <w:pBdr/>
        <w:spacing w:before="0" w:after="280" w:line="240" w:lineRule="auto"/>
        <w:ind w:left="0" w:right="0"/>
        <w:jc w:val="left"/>
      </w:pPr>
      <w:r>
        <w:rPr>
          <w:rFonts w:ascii="Arial" w:hAnsi="Arial" w:eastAsia="Arial" w:cs="Arial"/>
          <w:color w:val="363A40"/>
          <w:sz w:val="24"/>
          <w:szCs w:val="24"/>
        </w:rPr>
        <w:t xml:space="preserve">Dokument-ID: 651097 | FORUM Media (red) -
Alexander Koukal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Werbebanner-Vertrag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 näher bezeichneten Datum zwischen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im Folgenden „Anbieter“ genannt</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im Folgenden „Kunde“ genannt</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Gegenstand dieses Vertrages bildet die Aufnahme eines
Werbebanners des Kunden in eine Website des Anbieters.</w:t>
      </w:r>
    </w:p>
    <w:p>
      <w:pPr>
        <w:widowControl w:val="on"/>
        <w:pBdr/>
        <w:spacing w:before="140" w:after="240" w:line="288" w:lineRule="auto"/>
        <w:ind w:left="0" w:right="0"/>
        <w:jc w:val="left"/>
      </w:pPr>
      <w:r>
        <w:rPr>
          <w:rFonts w:ascii="Arial" w:hAnsi="Arial" w:eastAsia="Arial" w:cs="Arial"/>
          <w:color w:val="000000"/>
          <w:sz w:val="20"/>
          <w:szCs w:val="20"/>
        </w:rPr>
        <w:t xml:space="preserve">Der Anbieter verpflichtet sich nach Maßgabe und für die Dauer
dieser Vereinbarung, auf seiner Website unter der Adresse https://…
den in Anhang 1 zu diesem Vertrag wiedergegebenen Werbebanner des
Kunden zu platzieren. Anhang 1 bildet einen integrierten
Bestandteil dieses Vertrags.</w:t>
      </w:r>
    </w:p>
    <w:p>
      <w:pPr>
        <w:widowControl w:val="on"/>
        <w:pBdr/>
        <w:spacing w:before="140" w:after="240" w:line="288" w:lineRule="auto"/>
        <w:ind w:left="0" w:right="0"/>
        <w:jc w:val="left"/>
      </w:pPr>
      <w:r>
        <w:rPr>
          <w:rFonts w:ascii="Arial" w:hAnsi="Arial" w:eastAsia="Arial" w:cs="Arial"/>
          <w:color w:val="000000"/>
          <w:sz w:val="20"/>
          <w:szCs w:val="20"/>
        </w:rPr>
        <w:t xml:space="preserve">Der Werbebanner des Kunden wird auf der Startseite (Homepage)
der oben näher bezeichneten Website platziert. Die Platzierung
erfolgt … [an der obersten Stelle der Seite]. Eine auch nur
geringfügige Veränderung der Platzierung ist nur über ausdrückliche
Einigung beider Parteien zulässig.</w:t>
      </w:r>
    </w:p>
    <w:p>
      <w:pPr>
        <w:widowControl w:val="on"/>
        <w:pBdr/>
        <w:spacing w:before="140" w:after="240" w:line="288" w:lineRule="auto"/>
        <w:ind w:left="0" w:right="0"/>
        <w:jc w:val="left"/>
      </w:pPr>
      <w:r>
        <w:rPr>
          <w:rFonts w:ascii="Arial" w:hAnsi="Arial" w:eastAsia="Arial" w:cs="Arial"/>
          <w:color w:val="000000"/>
          <w:sz w:val="20"/>
          <w:szCs w:val="20"/>
        </w:rPr>
        <w:t xml:space="preserve">Die erstmalige Platzierung des Werbebanners erfolgt am …</w:t>
      </w:r>
    </w:p>
    <w:p>
      <w:pPr>
        <w:widowControl w:val="on"/>
        <w:pBdr/>
        <w:spacing w:before="140" w:after="240" w:line="288" w:lineRule="auto"/>
        <w:ind w:left="0" w:right="0"/>
        <w:jc w:val="left"/>
      </w:pPr>
      <w:r>
        <w:rPr>
          <w:rFonts w:ascii="Arial" w:hAnsi="Arial" w:eastAsia="Arial" w:cs="Arial"/>
          <w:color w:val="000000"/>
          <w:sz w:val="20"/>
          <w:szCs w:val="20"/>
        </w:rPr>
        <w:t xml:space="preserve">Der Anbieter wird den Werbebanner während der Vertragslaufzeit
mit branchenüblicher Sorgfalt auf der vereinbarten Website
verfügbar halten. Nicht als Vertragsverletzung gelten
vorübergehende Einschränkungen der Abrufbarkeit infolge geplanter
Wartungsarbeiten, notwendiger technischer Umstellungen, Störungen
der Telekommunikationsinfrastruktur, höherer Gewalt oder sonstiger
Umstände außerhalb des Einflussbereichs des Anbieters. Geplante
Wartungsarbeiten sind, soweit möglich, außerhalb üblicher
Hauptnutzungszeiten durchzuführen.</w:t>
      </w:r>
    </w:p>
    <w:p>
      <w:pPr>
        <w:widowControl w:val="on"/>
        <w:pBdr/>
        <w:spacing w:before="140" w:after="240" w:line="288" w:lineRule="auto"/>
        <w:ind w:left="0" w:right="0"/>
        <w:jc w:val="left"/>
      </w:pPr>
      <w:r>
        <w:rPr>
          <w:rFonts w:ascii="Arial" w:hAnsi="Arial" w:eastAsia="Arial" w:cs="Arial"/>
          <w:color w:val="000000"/>
          <w:sz w:val="20"/>
          <w:szCs w:val="20"/>
        </w:rPr>
        <w:t xml:space="preserve">Der Werbebanner wird über einen Hyperlink mit folgender
Zielseite des Kunden verknüpft: https://… Diese Zielseite des
Kunden wird aufgerufen, wenn der Werbebanner mit einem Mausklick
aktiviert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Spezifikationen</w:t>
      </w:r>
    </w:p>
    <w:p>
      <w:pPr>
        <w:widowControl w:val="on"/>
        <w:pBdr/>
        <w:spacing w:before="140" w:after="240" w:line="288" w:lineRule="auto"/>
        <w:ind w:left="0" w:right="0"/>
        <w:jc w:val="left"/>
      </w:pPr>
      <w:r>
        <w:rPr>
          <w:rFonts w:ascii="Arial" w:hAnsi="Arial" w:eastAsia="Arial" w:cs="Arial"/>
          <w:color w:val="000000"/>
          <w:sz w:val="20"/>
          <w:szCs w:val="20"/>
        </w:rPr>
        <w:t xml:space="preserve">Bei dem vertragsgegenständlichen Werbebanner handelt es sich um
… [einen statischen Banner im Dateiformat/einen animierten Banner
im Format].</w:t>
      </w:r>
    </w:p>
    <w:p>
      <w:pPr>
        <w:widowControl w:val="on"/>
        <w:pBdr/>
        <w:spacing w:before="140" w:after="240" w:line="288" w:lineRule="auto"/>
        <w:ind w:left="0" w:right="0"/>
        <w:jc w:val="left"/>
      </w:pPr>
      <w:r>
        <w:rPr>
          <w:rFonts w:ascii="Arial" w:hAnsi="Arial" w:eastAsia="Arial" w:cs="Arial"/>
          <w:color w:val="000000"/>
          <w:sz w:val="20"/>
          <w:szCs w:val="20"/>
        </w:rPr>
        <w:t xml:space="preserve">Der Werbebanner hat eine Größe von … x … Pixel.</w:t>
      </w:r>
    </w:p>
    <w:p>
      <w:pPr>
        <w:widowControl w:val="on"/>
        <w:pBdr/>
        <w:spacing w:before="140" w:after="240" w:line="288" w:lineRule="auto"/>
        <w:ind w:left="0" w:right="0"/>
        <w:jc w:val="left"/>
      </w:pPr>
      <w:r>
        <w:rPr>
          <w:rFonts w:ascii="Arial" w:hAnsi="Arial" w:eastAsia="Arial" w:cs="Arial"/>
          <w:color w:val="000000"/>
          <w:sz w:val="20"/>
          <w:szCs w:val="20"/>
        </w:rPr>
        <w:t xml:space="preserve">Der Kunde überlässt den Werbebanner dem Anbieter in einem
gängigen Dateiformat und einer Dateigröße, die nicht größer als …
Kilobyte sein darf.</w:t>
      </w:r>
    </w:p>
    <w:p>
      <w:pPr>
        <w:widowControl w:val="on"/>
        <w:pBdr/>
        <w:spacing w:before="140" w:after="240" w:line="288" w:lineRule="auto"/>
        <w:ind w:left="0" w:right="0"/>
        <w:jc w:val="left"/>
      </w:pPr>
      <w:r>
        <w:rPr>
          <w:rFonts w:ascii="Arial" w:hAnsi="Arial" w:eastAsia="Arial" w:cs="Arial"/>
          <w:color w:val="000000"/>
          <w:sz w:val="20"/>
          <w:szCs w:val="20"/>
        </w:rPr>
        <w:t xml:space="preserve">Der Kunde verpflichtet sich, den Werbebanner dem Anbieter … bis
spätestens … zu übersenden, wobei die Übersendungsart entweder
elektronisch oder auf einem geeigneten Datenträger zu erfolgen hat.
Die Verlinkung im Sinne dieses Vertrages erfolgt im gleichen
Browser-Fenster/in einem neuen Tab oder Browser-Fenster.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Pflichten des Kunden</w:t>
      </w:r>
    </w:p>
    <w:p>
      <w:pPr>
        <w:widowControl w:val="on"/>
        <w:pBdr/>
        <w:spacing w:before="140" w:after="240" w:line="288" w:lineRule="auto"/>
        <w:ind w:left="0" w:right="0"/>
        <w:jc w:val="left"/>
      </w:pPr>
      <w:r>
        <w:rPr>
          <w:rFonts w:ascii="Arial" w:hAnsi="Arial" w:eastAsia="Arial" w:cs="Arial"/>
          <w:color w:val="000000"/>
          <w:sz w:val="20"/>
          <w:szCs w:val="20"/>
        </w:rPr>
        <w:t xml:space="preserve">Der Kunde ist während der gesamten Vertragslaufzeit
verpflichtet, die Zielseite im Sinne dieses Vertrages abrufbar zu
halten. Sollte der Kunde Störungen bei der Verlinkung des
Werbebanners mit der Zielseite feststellen, wird der Kunde den
Anbieter von diesen Störungen unverzüglich in Kenntnis setzen.</w:t>
      </w:r>
    </w:p>
    <w:p>
      <w:pPr>
        <w:widowControl w:val="on"/>
        <w:pBdr/>
        <w:spacing w:before="140" w:after="240" w:line="288" w:lineRule="auto"/>
        <w:ind w:left="0" w:right="0"/>
        <w:jc w:val="left"/>
      </w:pPr>
      <w:r>
        <w:rPr>
          <w:rFonts w:ascii="Arial" w:hAnsi="Arial" w:eastAsia="Arial" w:cs="Arial"/>
          <w:color w:val="000000"/>
          <w:sz w:val="20"/>
          <w:szCs w:val="20"/>
        </w:rPr>
        <w:t xml:space="preserve">Der Kunde verpflichtet sich, bei der Gestaltung des Werbebanners
die geltenden gesetzlichen Bestimmungen zu beachten und dafür Sorge
zu tragen, dass Rechte Dritter – gleich auf welcher Rechtsgrundlage
beruhend – nicht verletzt werden. Im Falle der nachträglichen
Feststellung von Rechts- bzw Gesetzwidrigkeiten des Werbebanners
ist der Kunde verpflichtet, den Anbieter hievon unverzüglich zu
verständigen.</w:t>
      </w:r>
    </w:p>
    <w:p>
      <w:pPr>
        <w:widowControl w:val="on"/>
        <w:pBdr/>
        <w:spacing w:before="140" w:after="240" w:line="288" w:lineRule="auto"/>
        <w:ind w:left="0" w:right="0"/>
        <w:jc w:val="left"/>
      </w:pPr>
      <w:r>
        <w:rPr>
          <w:rFonts w:ascii="Arial" w:hAnsi="Arial" w:eastAsia="Arial" w:cs="Arial"/>
          <w:color w:val="000000"/>
          <w:sz w:val="20"/>
          <w:szCs w:val="20"/>
        </w:rPr>
        <w:t xml:space="preserve">Der Kunde verpflichtet sich, den Anbieter von Ansprüchen
Dritter, gleich auf welcher Rechtsgrundlage beruhend,
freizustellen, die aus der Rechtswidrigkeit des Werbebanners
und/oder der Verletzung von Rechten Dritter resultieren. Die
Freistellungsverpflichtung umfasst auch die Verpflichtung, den
Vertragspartner von Kosten, die diesem aufgrund der
zweckentsprechenden Rechtsverteidigung entstehen, wie zB
Gerichtskosten und die Kosten rechtsfreundlicher Vertretung und
Beratung, vollständig freizustellen.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Ausgestaltung des
Werbebanners</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der Ausgestaltung des Werbebanners wird Folgendes
vereinbart:</w:t>
      </w:r>
    </w:p>
    <w:p>
      <w:pPr>
        <w:widowControl w:val="on"/>
        <w:pBdr/>
        <w:spacing w:before="140" w:after="240" w:line="288" w:lineRule="auto"/>
        <w:ind w:left="0" w:right="0"/>
        <w:jc w:val="left"/>
      </w:pPr>
      <w:r>
        <w:rPr>
          <w:rFonts w:ascii="Arial" w:hAnsi="Arial" w:eastAsia="Arial" w:cs="Arial"/>
          <w:color w:val="000000"/>
          <w:sz w:val="20"/>
          <w:szCs w:val="20"/>
        </w:rPr>
        <w:t xml:space="preserve">[…] oder Verweis auf die Wiedergabe des Bannerdesigns in Anhang
1</w:t>
      </w:r>
    </w:p>
    <w:p>
      <w:pPr>
        <w:widowControl w:val="on"/>
        <w:pBdr/>
        <w:spacing w:before="140" w:after="240" w:line="288" w:lineRule="auto"/>
        <w:ind w:left="0" w:right="0"/>
        <w:jc w:val="left"/>
      </w:pPr>
      <w:r>
        <w:rPr>
          <w:rFonts w:ascii="Arial" w:hAnsi="Arial" w:eastAsia="Arial" w:cs="Arial"/>
          <w:color w:val="000000"/>
          <w:sz w:val="20"/>
          <w:szCs w:val="20"/>
        </w:rPr>
        <w:t xml:space="preserve">Der Werbebanner ist so zu gestalten, dass er eindeutig als
Werbung erkennbar ist und das Publikum über den Werbezweck nicht
irreführen kann.</w:t>
      </w:r>
    </w:p>
    <w:p>
      <w:pPr>
        <w:widowControl w:val="on"/>
        <w:pBdr/>
        <w:spacing w:before="140" w:after="240" w:line="288" w:lineRule="auto"/>
        <w:ind w:left="0" w:right="0"/>
        <w:jc w:val="left"/>
      </w:pPr>
      <w:r>
        <w:rPr>
          <w:rFonts w:ascii="Arial" w:hAnsi="Arial" w:eastAsia="Arial" w:cs="Arial"/>
          <w:color w:val="000000"/>
          <w:sz w:val="20"/>
          <w:szCs w:val="20"/>
        </w:rPr>
        <w:t xml:space="preserve">Weist der Werbebanner gestalterische Funktionselemente auf (zB
Suchmasken), müssen diese Funktionselemente auch tatsächlich
aktivierbar sein.</w:t>
      </w:r>
    </w:p>
    <w:p>
      <w:pPr>
        <w:widowControl w:val="on"/>
        <w:pBdr/>
        <w:spacing w:before="140" w:after="240" w:line="288" w:lineRule="auto"/>
        <w:ind w:left="0" w:right="0"/>
        <w:jc w:val="left"/>
      </w:pPr>
      <w:r>
        <w:rPr>
          <w:rFonts w:ascii="Arial" w:hAnsi="Arial" w:eastAsia="Arial" w:cs="Arial"/>
          <w:color w:val="000000"/>
          <w:sz w:val="20"/>
          <w:szCs w:val="20"/>
        </w:rPr>
        <w:t xml:space="preserve">Ein nachträglicher Austausch des Werbebanners kann nur
einvernehmlich erfolgen.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Entgelt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Kunde verpflichtet sich, dem Anbieter für die Aufnahme des
Werbebanners auf die Website gemäß den Bestimmungen dieses
Vertrages einen einmaligen Pauschalbetrag von EUR … zuzüglich
der gesetzlichen Mehrwertsteuer zu bezahlen. Dieser Betrag ist
binnen 14 Tagen nach Unterfertigung dieses Vertrages auf das Konto
des Anbieters zu überweisen.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Maßgeblich für die Abrechnung sind ausschließlich die im
vertraglich vereinbarten Tracking- oder Auswertungssystem erfassten
und nachvollziehbar dokumentierten Klicks beziehungsweise Käufe
oder Registrierungen. Die abrechnungsrelevanten Daten sind dem
jeweils anderen Vertragspartner monatlich in prüffähiger Form zu
übermitteln. Der Anbieter stellt auf Basis dieser Daten eine
Rechnung, die binnen 14 Tagen ab Zugang zur Zahlung fällig ist.
Beide Vertragspartner sind berechtigt, bei begründeten Zweifeln an
der Richtigkeit der Abrechnung eine Überprüfung durch einen zur
beruflichen Verschwiegenheit verpflichteten Sachverständigen oder
Wirtschaftsprüfer zu verlangen. Die Kosten der Überprüfung trägt
jener Vertragspartner, dessen Abrechnung oder Aufstellung um mehr
als 10 % unrichtig war, sonst trägt sie der die Prüfung
veranlassende Vertragspartner.</w:t>
      </w:r>
    </w:p>
    <w:p>
      <w:pPr>
        <w:widowControl w:val="on"/>
        <w:pBdr/>
        <w:spacing w:before="140" w:after="240" w:line="288" w:lineRule="auto"/>
        <w:ind w:left="0" w:right="0"/>
        <w:jc w:val="left"/>
      </w:pPr>
      <w:r>
        <w:rPr>
          <w:rFonts w:ascii="Arial" w:hAnsi="Arial" w:eastAsia="Arial" w:cs="Arial"/>
          <w:color w:val="000000"/>
          <w:sz w:val="20"/>
          <w:szCs w:val="20"/>
        </w:rPr>
        <w:t xml:space="preserve">Für Variante 2: Der Anbieter ist dazu berechtigt, die
Richtigkeit und Vollständigkeit der übersandten Aufstellungen durch
einen zur beruflichen Verschwiegenheit verpflichteten Beauftragten
(zB Wirtschaftsprüfer) prüfen zu lassen. Der Kunde hat dem Prüfer
in alle für eine Prüfung erforderlichen Unterlagen Einsicht zu
gewähren. Ergibt die Prüfung eine Abweichung zur jeweiligen
Aufstellung von mehr als 15 %, trägt der Kunde die Kosten der
Prüfung, sonst trägt der Anbieter die Kosten der Prüfung.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Entfernung</w:t>
      </w:r>
    </w:p>
    <w:p>
      <w:pPr>
        <w:widowControl w:val="on"/>
        <w:pBdr/>
        <w:spacing w:before="140" w:after="240" w:line="288" w:lineRule="auto"/>
        <w:ind w:left="0" w:right="0"/>
        <w:jc w:val="left"/>
      </w:pPr>
      <w:r>
        <w:rPr>
          <w:rFonts w:ascii="Arial" w:hAnsi="Arial" w:eastAsia="Arial" w:cs="Arial"/>
          <w:color w:val="000000"/>
          <w:sz w:val="20"/>
          <w:szCs w:val="20"/>
        </w:rPr>
        <w:t xml:space="preserve">Der Anbieter ist berechtigt, den Werbebanner vorläufig zu
sperren oder zu entfernen, wenn konkrete und nachvollziehbar
dokumentierte Anhaltspunkte dafür vorliegen, dass der Werbebanner,
die Zielseite oder deren unmittelbares Umfeld rechtswidrig ist oder
Rechte Dritter verletzt. Der Anbieter hat den Kunden hiervon
unverzüglich zu verständigen und ihm Gelegenheit zu geben, binnen
angemessener Frist Stellung zu nehmen oder den beanstandeten
Zustand zu beseitigen, soweit dies nach Art des Vorwurfs zumutbar
ist. Fällt der Verdacht weg oder wird der beanstandete Zustand
behoben, ist der Werbebanner unverzüglich wieder aufzunehmen.</w:t>
      </w:r>
    </w:p>
    <w:p>
      <w:pPr>
        <w:widowControl w:val="on"/>
        <w:pBdr/>
        <w:spacing w:before="140" w:after="240" w:line="288" w:lineRule="auto"/>
        <w:ind w:left="0" w:right="0"/>
        <w:jc w:val="left"/>
      </w:pPr>
      <w:r>
        <w:rPr>
          <w:rFonts w:ascii="Arial" w:hAnsi="Arial" w:eastAsia="Arial" w:cs="Arial"/>
          <w:color w:val="000000"/>
          <w:sz w:val="20"/>
          <w:szCs w:val="20"/>
        </w:rPr>
        <w:t xml:space="preserve">Der Anbieter ist weiters berechtigt, den Werbebanner für die
Dauer eines Zahlungsverzugs des Kunden von der Webseite zu
entfernen. Der Kunde kann daraus keine Ansprüche ableiten.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Gewährleistung, Haftung</w:t>
      </w:r>
    </w:p>
    <w:p>
      <w:pPr>
        <w:widowControl w:val="on"/>
        <w:pBdr/>
        <w:spacing w:before="140" w:after="240" w:line="288" w:lineRule="auto"/>
        <w:ind w:left="0" w:right="0"/>
        <w:jc w:val="left"/>
      </w:pPr>
      <w:r>
        <w:rPr>
          <w:rFonts w:ascii="Arial" w:hAnsi="Arial" w:eastAsia="Arial" w:cs="Arial"/>
          <w:color w:val="000000"/>
          <w:sz w:val="20"/>
          <w:szCs w:val="20"/>
        </w:rPr>
        <w:t xml:space="preserve">Der Anbieter haftet für die allfällige Mangelhaftigkeit seiner
Leistung nach Maßgabe der gesetzlichen Bestimmungen. Der Anbieter
leistet keine Gewähr für einen bestimmten unternehmerischen Erfolg
des Kunden durch die Aufnahme des Werbebanners.</w:t>
      </w:r>
    </w:p>
    <w:p>
      <w:pPr>
        <w:widowControl w:val="on"/>
        <w:pBdr/>
        <w:spacing w:before="140" w:after="240" w:line="288" w:lineRule="auto"/>
        <w:ind w:left="0" w:right="0"/>
        <w:jc w:val="left"/>
      </w:pPr>
      <w:r>
        <w:rPr>
          <w:rFonts w:ascii="Arial" w:hAnsi="Arial" w:eastAsia="Arial" w:cs="Arial"/>
          <w:color w:val="000000"/>
          <w:sz w:val="20"/>
          <w:szCs w:val="20"/>
        </w:rPr>
        <w:t xml:space="preserve">Der Kunde nimmt zur Kenntnis, dass die Anzeige des Werbebanners
und dessen Funktionsweise zum Teil von
Telekommunikationsinfrastruktur abhängen, auf die der Anbieter
keinen Einfluss hat. Der Anbieter sichert eine 100%ige
Verfügbarkeit der oa Website nicht zu.</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der Anbieter nicht für die
Funktionsfähigkeit der Telekommunikationsinfrastruktur zu seinem
Server, bei Stromausfällen und bei Ausfällen von Servern, die nicht
in seinem Einflussbereich stehen, haftet.</w:t>
      </w:r>
    </w:p>
    <w:p>
      <w:pPr>
        <w:widowControl w:val="on"/>
        <w:pBdr/>
        <w:spacing w:before="140" w:after="240" w:line="288" w:lineRule="auto"/>
        <w:ind w:left="0" w:right="0"/>
        <w:jc w:val="left"/>
      </w:pPr>
      <w:r>
        <w:rPr>
          <w:rFonts w:ascii="Arial" w:hAnsi="Arial" w:eastAsia="Arial" w:cs="Arial"/>
          <w:color w:val="000000"/>
          <w:sz w:val="20"/>
          <w:szCs w:val="20"/>
        </w:rPr>
        <w:t xml:space="preserve">Der Anbieter haftet nach den gesetzlichen Vorschriften
unbeschränkt für vorsätzlich und grob fahrlässig verursachte
Schäden sowie für Personenschäden. Bei leicht fahrlässig
verursachten Sach- und Vermögensschäden haftet der Anbieter nur bei
Verletzung wesentlicher vertraglicher Pflichten und nur für den
vorhersehbaren, vertragstypischen Schaden. Die Haftung für
entgangenen Gewinn und mittelbare Folgeschäden ist bei leichter
Fahrlässigkeit ausgeschlossen, soweit dem nicht zwingendes Recht
entgegensteht.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Vertragsdauer</w:t>
      </w:r>
    </w:p>
    <w:p>
      <w:pPr>
        <w:widowControl w:val="on"/>
        <w:pBdr/>
        <w:spacing w:before="140" w:after="240" w:line="288" w:lineRule="auto"/>
        <w:ind w:left="0" w:right="0"/>
        <w:jc w:val="left"/>
      </w:pPr>
      <w:r>
        <w:rPr>
          <w:rFonts w:ascii="Arial" w:hAnsi="Arial" w:eastAsia="Arial" w:cs="Arial"/>
          <w:color w:val="000000"/>
          <w:sz w:val="20"/>
          <w:szCs w:val="20"/>
        </w:rPr>
        <w:t xml:space="preserve">Der vorliegende Vertrag wird auf unbestimmte Zeit abgeschlossen
und kann von jedem Vertragspartner unter Einhaltung einer
Kündigungsfrist von … jeweils zum … schriftlich aufgekündigt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Außerordentliche Kündigung</w:t>
      </w:r>
    </w:p>
    <w:p>
      <w:pPr>
        <w:widowControl w:val="on"/>
        <w:pBdr/>
        <w:spacing w:before="140" w:after="240" w:line="288" w:lineRule="auto"/>
        <w:ind w:left="0" w:right="0"/>
        <w:jc w:val="left"/>
      </w:pPr>
      <w:r>
        <w:rPr>
          <w:rFonts w:ascii="Arial" w:hAnsi="Arial" w:eastAsia="Arial" w:cs="Arial"/>
          <w:color w:val="000000"/>
          <w:sz w:val="20"/>
          <w:szCs w:val="20"/>
        </w:rPr>
        <w:t xml:space="preserve">Jeder Vertragsteil kann den vorliegenden Vertrag aus folgenden
wichtigen Gründen auflösen:</w:t>
      </w:r>
    </w:p>
    <w:p>
      <w:pPr>
        <w:numPr>
          <w:ilvl w:val="0"/>
          <w:numId w:val="5231909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Wenn der andere Vertragspartner beharrlich Bestimmungen dieses
Vertrages verletzt;</w:t>
      </w:r>
    </w:p>
    <w:p>
      <w:pPr>
        <w:numPr>
          <w:ilvl w:val="0"/>
          <w:numId w:val="5231909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wenn dem anderen Vertragspartner die Erfüllung wesentlicher
Vertragspflichten dauerhaft unmöglich wird oder eine
schwerwiegende, nicht nur vorübergehende Störung eintritt, die eine
Fortsetzung des Vertragsverhältnisses unzumutbar macht; soweit die
Pflichtverletzung behebbar ist, ist vor Ausübung der
außerordentlichen Kündigung eine angemessene schriftliche Nachfrist
zu 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Schlussbestimmungen</w:t>
      </w:r>
    </w:p>
    <w:p>
      <w:pPr>
        <w:widowControl w:val="on"/>
        <w:pBdr/>
        <w:spacing w:before="140" w:after="240" w:line="288" w:lineRule="auto"/>
        <w:ind w:left="0" w:right="0"/>
        <w:jc w:val="left"/>
      </w:pPr>
      <w:r>
        <w:rPr>
          <w:rFonts w:ascii="Arial" w:hAnsi="Arial" w:eastAsia="Arial" w:cs="Arial"/>
          <w:color w:val="000000"/>
          <w:sz w:val="20"/>
          <w:szCs w:val="20"/>
        </w:rPr>
        <w:t xml:space="preserve">Auf den vorliegenden Vertrag ist ausschließlich österreichisches
Recht anzuwenden.</w:t>
      </w:r>
    </w:p>
    <w:p>
      <w:pPr>
        <w:widowControl w:val="on"/>
        <w:pBdr/>
        <w:spacing w:before="140" w:after="240" w:line="288" w:lineRule="auto"/>
        <w:ind w:left="0" w:right="0"/>
        <w:jc w:val="left"/>
      </w:pPr>
      <w:r>
        <w:rPr>
          <w:rFonts w:ascii="Arial" w:hAnsi="Arial" w:eastAsia="Arial" w:cs="Arial"/>
          <w:color w:val="000000"/>
          <w:sz w:val="20"/>
          <w:szCs w:val="20"/>
        </w:rPr>
        <w:t xml:space="preserve">Änderungen und Ergänzungen dieses Vertrages einschließlich
dieses Punktes bedürfen der Schriftform und der Unterfertigung
durch beide Vertragsparteien.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verpflichten sich, dem anderen
Vertragspartner eine Änderung der Anschrift unverzüglich
mitzuteilen. Diese Anschrift wird danach für den Zugang
rechtsgeschäftlicher Erklärungen die einzig verbindliche
Adresse.</w:t>
      </w:r>
    </w:p>
    <w:p>
      <w:pPr>
        <w:widowControl w:val="on"/>
        <w:pBdr/>
        <w:spacing w:before="140" w:after="240" w:line="288" w:lineRule="auto"/>
        <w:ind w:left="0" w:right="0"/>
        <w:jc w:val="left"/>
      </w:pPr>
      <w:r>
        <w:rPr>
          <w:rFonts w:ascii="Arial" w:hAnsi="Arial" w:eastAsia="Arial" w:cs="Arial"/>
          <w:color w:val="000000"/>
          <w:sz w:val="20"/>
          <w:szCs w:val="20"/>
        </w:rPr>
        <w:t xml:space="preserve">Der vorliegende Vertrag gibt die abschließende Einigung der
Parteien wieder. Allenfalls vor oder bei Abschluss des Vertrages
getroffene Vereinbarungen verlieren mit Unterfertigung dieses
Vertrages ihre Gültigkeit.</w:t>
      </w:r>
    </w:p>
    <w:p>
      <w:pPr>
        <w:widowControl w:val="on"/>
        <w:pBdr/>
        <w:spacing w:before="140" w:after="240" w:line="288" w:lineRule="auto"/>
        <w:ind w:left="0" w:right="0"/>
        <w:jc w:val="left"/>
      </w:pPr>
      <w:r>
        <w:rPr>
          <w:rFonts w:ascii="Arial" w:hAnsi="Arial" w:eastAsia="Arial" w:cs="Arial"/>
          <w:color w:val="000000"/>
          <w:sz w:val="20"/>
          <w:szCs w:val="20"/>
        </w:rPr>
        <w:t xml:space="preserve">Sollten Bestimmungen dieses Vertrages ungültig oder
undurchsetzbar sein oder werden, bleiben die restlichen
Bestimmungen des Vertrages gültig. Die Parteien verpflichten sich,
die ungültige oder undurchsetzbare Bestimmung durch eine gültige zu
ersetzen, die dem rechtlichen und wirtschaftlichen Zweck am
weitesten entspricht.</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zwei Originalen errichtet, wobei jedem
Vertragspartner eines zusteht.</w:t>
      </w:r>
    </w:p>
    <w:p>
      <w:pPr>
        <w:widowControl w:val="on"/>
        <w:pBdr/>
        <w:spacing w:before="140" w:after="240" w:line="288" w:lineRule="auto"/>
        <w:ind w:left="0" w:right="0"/>
        <w:jc w:val="left"/>
      </w:pPr>
      <w:r>
        <w:rPr>
          <w:rFonts w:ascii="Arial" w:hAnsi="Arial" w:eastAsia="Arial" w:cs="Arial"/>
          <w:color w:val="000000"/>
          <w:sz w:val="20"/>
          <w:szCs w:val="20"/>
        </w:rPr>
        <w:t xml:space="preserve">Die Kosten rechtsfreundlicher Beratung hat jeder Vertragspartner
selbst zu tragen.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Anbieter]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Kunde]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746501" w:name="note1"/>
            <w:bookmarkEnd w:id="7746501"/>
            <w:bookmarkStart w:id="1631979220370" w:name="note1"/>
            <w:r>
              <w:rPr>
                <w:rFonts w:ascii="Arial" w:hAnsi="Arial" w:eastAsia="Arial" w:cs="Arial"/>
                <w:b/>
                <w:bCs/>
                <w:color w:val="000000"/>
                <w:position w:val="0"/>
                <w:sz w:val="20"/>
                <w:szCs w:val="20"/>
              </w:rPr>
              <w:t xml:space="preserve">[1]</w:t>
            </w:r>
            <w:bookmarkEnd w:id="163197922037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Vertragsgegenstand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Vertrag ist als klassischer Banner-Schaltungsvertrag
aufgebaut. Der Anbieter schuldet keine allgemeine Werbeleistung,
sondern die konkrete Aufnahme eines bestimmten Werbebanners an
einer genau bezeichneten Stelle auf einer bestimmten Website.
Dadurch wird die Leistung sehr stark objektbezogen. Für beide
Vertragsparteien ist das günstig, weil nicht bloß allgemein
„Werbung“ geschuldet wird, sondern eine klar bestimmbare
Platzierung mit klarer technischer Zuordnung.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115665" w:name="note2"/>
            <w:bookmarkEnd w:id="1115665"/>
            <w:bookmarkStart w:id="7915814162150" w:name="note2"/>
            <w:r>
              <w:rPr>
                <w:rFonts w:ascii="Arial" w:hAnsi="Arial" w:eastAsia="Arial" w:cs="Arial"/>
                <w:b/>
                <w:bCs/>
                <w:color w:val="000000"/>
                <w:position w:val="0"/>
                <w:sz w:val="20"/>
                <w:szCs w:val="20"/>
              </w:rPr>
              <w:t xml:space="preserve">[2]</w:t>
            </w:r>
            <w:bookmarkEnd w:id="791581416215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Bannerplatzierung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genaue Festlegung der Startseite und der konkreten Position
des Werbebanners gibt dem Vertrag ein hohes Maß an Bestimmtheit.
Bei Online-Werbung ist die Platzierung wirtschaftlich oft genauso
wichtig wie das Werbemittel selbst, weil Sichtbarkeit,
Klickwahrscheinlichkeit und Wahrnehmung des Publikums wesentlich
vom Umfeld und von der Position auf der Seite abhängen. Die
vertragliche Fixierung der Platzierung macht daher den
wirtschaftlichen Wert der Leistung nachvollziehbar.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0278788" w:name="note3"/>
            <w:bookmarkEnd w:id="40278788"/>
            <w:bookmarkStart w:id="629097291727" w:name="note3"/>
            <w:r>
              <w:rPr>
                <w:rFonts w:ascii="Arial" w:hAnsi="Arial" w:eastAsia="Arial" w:cs="Arial"/>
                <w:b/>
                <w:bCs/>
                <w:color w:val="000000"/>
                <w:position w:val="0"/>
                <w:sz w:val="20"/>
                <w:szCs w:val="20"/>
              </w:rPr>
              <w:t xml:space="preserve">[3]</w:t>
            </w:r>
            <w:bookmarkEnd w:id="62909729172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Technische Spezifikationen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Regelungen zu Format, Pixelgröße, Dateigröße,
Übermittlungsart und Zielseite schaffen die technische Grundlage
dafür, dass die Schaltung im Alltag ohne zusätzliche Abstimmungen
umgesetzt werden kann. Solche Spezifikationen sind im Vertrag
besonders nützlich, weil sie die Schnittstelle zwischen Gestaltung,
Technik und Leistungspflicht bilden. Sie verhindern typischerweise
Diskussionen darüber, ob ein Banner technisch geeignet oder
vertragsgemäß geliefert wurde.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1893115" w:name="note4"/>
            <w:bookmarkEnd w:id="11893115"/>
            <w:bookmarkStart w:id="9232832513221" w:name="note4"/>
            <w:r>
              <w:rPr>
                <w:rFonts w:ascii="Arial" w:hAnsi="Arial" w:eastAsia="Arial" w:cs="Arial"/>
                <w:b/>
                <w:bCs/>
                <w:color w:val="000000"/>
                <w:position w:val="0"/>
                <w:sz w:val="20"/>
                <w:szCs w:val="20"/>
              </w:rPr>
              <w:t xml:space="preserve">[4]</w:t>
            </w:r>
            <w:bookmarkEnd w:id="9232832513221"/>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Rechtskonformität des Werbebanners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Vertrag ordnet die Verantwortung für die rechtliche
Zulässigkeit des Werbebanners in erster Linie dem Kunden zu. Das
ist sachlich nachvollziehbar, weil der Kunde das Werbemittel
inhaltlich gestaltet oder veranlasst. Gleichzeitig wird dadurch für
den Anbieter eine Schutzfunktion geschaffen, weil er fremde
Werbeinhalte veröffentlicht, ohne regelmäßig selbst Urheber,
Markeninhaber oder inhaltlich verantwortlicher Gestalter zu sein.
Die Freistellungsklausel knüpft an diese Rollenverteilung an und
soll das Veröffentlichungsrisiko wirtschaftlich der Sphäre des
Werbemittels zuordnen.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2133210" w:name="note5"/>
            <w:bookmarkEnd w:id="52133210"/>
            <w:bookmarkStart w:id="6893800508360" w:name="note5"/>
            <w:r>
              <w:rPr>
                <w:rFonts w:ascii="Arial" w:hAnsi="Arial" w:eastAsia="Arial" w:cs="Arial"/>
                <w:b/>
                <w:bCs/>
                <w:color w:val="000000"/>
                <w:position w:val="0"/>
                <w:sz w:val="20"/>
                <w:szCs w:val="20"/>
              </w:rPr>
              <w:t xml:space="preserve">[5]</w:t>
            </w:r>
            <w:bookmarkEnd w:id="689380050836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Entgeltmodell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Vertrag ist offen für verschiedene wirtschaftliche Modelle
und kann sowohl mit Fixpreis als auch leistungsabhängig nach Klicks
oder Conversions betrieben werden. Das zeigt, dass der Vertrag
sowohl für reine Platzierungsmodelle als auch für erfolgsnähere
Vergütungsformen gedacht ist. Für die praktische Umsetzung ist
diese Offenheit nützlich, weil das Modell an die konkrete Kampagne
angepasst werden kann. Zugleich hängt die spätere Konfliktfreiheit
stark davon ab, wie exakt die jeweils gewählte Variante technisch
und abrechnungsmäßig ausgearbeitet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7178589" w:name="note6"/>
            <w:bookmarkEnd w:id="77178589"/>
            <w:bookmarkStart w:id="47132503800" w:name="note6"/>
            <w:r>
              <w:rPr>
                <w:rFonts w:ascii="Arial" w:hAnsi="Arial" w:eastAsia="Arial" w:cs="Arial"/>
                <w:b/>
                <w:bCs/>
                <w:color w:val="000000"/>
                <w:position w:val="0"/>
                <w:sz w:val="20"/>
                <w:szCs w:val="20"/>
              </w:rPr>
              <w:t xml:space="preserve">[6]</w:t>
            </w:r>
            <w:bookmarkEnd w:id="4713250380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Vertragsdauer und Eingriffsrechte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Vertrag kombiniert eine auf Dauer angelegte Zusammenarbeit
mit Eingriffsrechten des Anbieters bei Rechtsrisiken und
Zahlungsverzug. Damit wird deutlich, dass Bannerwerbung nicht nur
als einfache Veröffentlichung verstanden wird, sondern als
laufendes Verhältnis, in dem rechtliche, technische und
wirtschaftliche Umstände jederzeit auf die Schaltung einwirken
können. Die Bestimmungen zur Entfernung und Kündigung haben deshalb
im Vertrag eine besondere Steuerungsfunktion, weil sie festlegen,
unter welchen Voraussetzungen die laufende Schaltung unterbrochen
oder beendet werden darf.</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319097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7973111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9378156">
    <w:multiLevelType w:val="hybridMultilevel"/>
    <w:lvl w:ilvl="0" w:tplc="34397691">
      <w:start w:val="1"/>
      <w:numFmt w:val="decimal"/>
      <w:lvlText w:val="%1."/>
      <w:lvlJc w:val="left"/>
      <w:pPr>
        <w:ind w:left="720" w:hanging="360"/>
      </w:pPr>
    </w:lvl>
    <w:lvl w:ilvl="1" w:tplc="34397691" w:tentative="1">
      <w:start w:val="1"/>
      <w:numFmt w:val="lowerLetter"/>
      <w:lvlText w:val="%2."/>
      <w:lvlJc w:val="left"/>
      <w:pPr>
        <w:ind w:left="1440" w:hanging="360"/>
      </w:pPr>
    </w:lvl>
    <w:lvl w:ilvl="2" w:tplc="34397691" w:tentative="1">
      <w:start w:val="1"/>
      <w:numFmt w:val="lowerRoman"/>
      <w:lvlText w:val="%3."/>
      <w:lvlJc w:val="right"/>
      <w:pPr>
        <w:ind w:left="2160" w:hanging="180"/>
      </w:pPr>
    </w:lvl>
    <w:lvl w:ilvl="3" w:tplc="34397691" w:tentative="1">
      <w:start w:val="1"/>
      <w:numFmt w:val="decimal"/>
      <w:lvlText w:val="%4."/>
      <w:lvlJc w:val="left"/>
      <w:pPr>
        <w:ind w:left="2880" w:hanging="360"/>
      </w:pPr>
    </w:lvl>
    <w:lvl w:ilvl="4" w:tplc="34397691" w:tentative="1">
      <w:start w:val="1"/>
      <w:numFmt w:val="lowerLetter"/>
      <w:lvlText w:val="%5."/>
      <w:lvlJc w:val="left"/>
      <w:pPr>
        <w:ind w:left="3600" w:hanging="360"/>
      </w:pPr>
    </w:lvl>
    <w:lvl w:ilvl="5" w:tplc="34397691" w:tentative="1">
      <w:start w:val="1"/>
      <w:numFmt w:val="lowerRoman"/>
      <w:lvlText w:val="%6."/>
      <w:lvlJc w:val="right"/>
      <w:pPr>
        <w:ind w:left="4320" w:hanging="180"/>
      </w:pPr>
    </w:lvl>
    <w:lvl w:ilvl="6" w:tplc="34397691" w:tentative="1">
      <w:start w:val="1"/>
      <w:numFmt w:val="decimal"/>
      <w:lvlText w:val="%7."/>
      <w:lvlJc w:val="left"/>
      <w:pPr>
        <w:ind w:left="5040" w:hanging="360"/>
      </w:pPr>
    </w:lvl>
    <w:lvl w:ilvl="7" w:tplc="34397691" w:tentative="1">
      <w:start w:val="1"/>
      <w:numFmt w:val="lowerLetter"/>
      <w:lvlText w:val="%8."/>
      <w:lvlJc w:val="left"/>
      <w:pPr>
        <w:ind w:left="5760" w:hanging="360"/>
      </w:pPr>
    </w:lvl>
    <w:lvl w:ilvl="8" w:tplc="34397691" w:tentative="1">
      <w:start w:val="1"/>
      <w:numFmt w:val="lowerRoman"/>
      <w:lvlText w:val="%9."/>
      <w:lvlJc w:val="right"/>
      <w:pPr>
        <w:ind w:left="6480" w:hanging="180"/>
      </w:pPr>
    </w:lvl>
  </w:abstractNum>
  <w:abstractNum w:abstractNumId="89378155">
    <w:multiLevelType w:val="hybridMultilevel"/>
    <w:lvl w:ilvl="0" w:tplc="392443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378155">
    <w:abstractNumId w:val="89378155"/>
  </w:num>
  <w:num w:numId="89378156">
    <w:abstractNumId w:val="89378156"/>
  </w:num>
  <w:num w:numId="379731117">
    <w:abstractNumId w:val="379731117"/>
  </w:num>
  <w:num w:numId="523190970">
    <w:abstractNumId w:val="5231909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87210661" Type="http://schemas.openxmlformats.org/officeDocument/2006/relationships/numbering" Target="numbering.xml"/><Relationship Id="rId54606215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