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7558676" w:name="document"/>
    <w:bookmarkEnd w:id="87558676"/>
    <w:p/>
    <w:p>
      <w:pPr>
        <w:widowControl w:val="on"/>
        <w:pBdr/>
        <w:spacing w:before="0" w:after="280" w:line="240" w:lineRule="auto"/>
        <w:ind w:left="0" w:right="0"/>
        <w:jc w:val="left"/>
      </w:pPr>
      <w:r>
        <w:rPr>
          <w:rFonts w:ascii="Arial" w:hAnsi="Arial" w:eastAsia="Arial" w:cs="Arial"/>
          <w:color w:val="363A40"/>
          <w:sz w:val="24"/>
          <w:szCs w:val="24"/>
        </w:rPr>
        <w:t xml:space="preserve">Dokument-ID: 359660 | Wolfgang Steinberger -
Albert Scherzer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Softwarekaufvertrag – Checkliste</w:t>
      </w:r>
    </w:p>
    <w:p>
      <w:pPr>
        <w:numPr>
          <w:ilvl w:val="0"/>
          <w:numId w:val="5102745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Parteien:</w:t>
      </w:r>
      <w:r>
        <w:rPr>
          <w:rFonts w:ascii="Arial" w:hAnsi="Arial" w:eastAsia="Arial" w:cs="Arial"/>
          <w:color w:val="000000"/>
          <w:sz w:val="20"/>
          <w:szCs w:val="20"/>
        </w:rPr>
        <w:br/>
        <w:t xml:space="preserve">Die vollständigen Namen und Adressen der Vertragsparteien (Käufer
und Verkäufer) sowie deren Vertreter, falls vorhanden.</w:t>
      </w:r>
    </w:p>
    <w:p>
      <w:pPr>
        <w:numPr>
          <w:ilvl w:val="0"/>
          <w:numId w:val="5102745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Genaue Beschreibung des Softwarepaketes:</w:t>
      </w:r>
      <w:r>
        <w:rPr>
          <w:rFonts w:ascii="Arial" w:hAnsi="Arial" w:eastAsia="Arial" w:cs="Arial"/>
          <w:color w:val="000000"/>
          <w:sz w:val="20"/>
          <w:szCs w:val="20"/>
        </w:rPr>
        <w:br/>
        <w:t xml:space="preserve">Eine genaue Beschreibung, die empfehlenswerterweise in einem
Pflichtenheft zu erfolgen hat, ist unumgänglich.</w:t>
      </w:r>
    </w:p>
    <w:p>
      <w:pPr>
        <w:numPr>
          <w:ilvl w:val="0"/>
          <w:numId w:val="5102745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Übergabe des Sourcecodes (Quellcode):</w:t>
      </w:r>
      <w:r>
        <w:rPr>
          <w:rFonts w:ascii="Arial" w:hAnsi="Arial" w:eastAsia="Arial" w:cs="Arial"/>
          <w:color w:val="000000"/>
          <w:sz w:val="20"/>
          <w:szCs w:val="20"/>
        </w:rPr>
        <w:br/>
        <w:t xml:space="preserve">Zur Wartung bzw Weiterentwicklung der Software ist der Sourcecode
erforderlich. Bei Verkauf einer Standardsoftware ist die Übergabe
des Quellcodes unüblich, bei Kauf einer Individualsoftware jedoch
dem Käufer anzuraten. Gegebenenfalls ist auch die (versiegelte)
Hinterlegung bei einem der Vertragsteile oder bei einem Dritten
denkbar.</w:t>
      </w:r>
    </w:p>
    <w:p>
      <w:pPr>
        <w:numPr>
          <w:ilvl w:val="0"/>
          <w:numId w:val="5102745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Installation der Software:</w:t>
      </w:r>
      <w:r>
        <w:rPr>
          <w:rFonts w:ascii="Arial" w:hAnsi="Arial" w:eastAsia="Arial" w:cs="Arial"/>
          <w:color w:val="000000"/>
          <w:sz w:val="20"/>
          <w:szCs w:val="20"/>
        </w:rPr>
        <w:br/>
        <w:t xml:space="preserve">Ein wichtiger Punkt, der vertraglich zu regeln ist, betrifft die
Frage, von wem die Installation der Software zu erfolgen hat und
wen letztendlich dafür die Verantwortung trifft. Soll dies der
Verkäufer übernehmen sind vorher Erkundigungen hinsichtlich der
Beschaffenheit des IT-Systems des Käufers einzuholen.</w:t>
      </w:r>
    </w:p>
    <w:p>
      <w:pPr>
        <w:numPr>
          <w:ilvl w:val="0"/>
          <w:numId w:val="5102745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Systemumgebung:</w:t>
      </w:r>
      <w:r>
        <w:rPr>
          <w:rFonts w:ascii="Arial" w:hAnsi="Arial" w:eastAsia="Arial" w:cs="Arial"/>
          <w:color w:val="000000"/>
          <w:sz w:val="20"/>
          <w:szCs w:val="20"/>
        </w:rPr>
        <w:br/>
        <w:t xml:space="preserve">Meistens ist die Software nur auf spezieller Hardware und unter
einem speziellen Betriebssystem einsetzbar. Es empfiehlt sich
daher, die Systemumgebung grob zu umschreiben, um klarzustellen,
welchen Umgebungsbedingungen die Software genügen muss.</w:t>
      </w:r>
    </w:p>
    <w:p>
      <w:pPr>
        <w:numPr>
          <w:ilvl w:val="0"/>
          <w:numId w:val="5102745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Entgelt- und Zahlungsbedingungen:</w:t>
      </w:r>
      <w:r>
        <w:rPr>
          <w:rFonts w:ascii="Arial" w:hAnsi="Arial" w:eastAsia="Arial" w:cs="Arial"/>
          <w:color w:val="000000"/>
          <w:sz w:val="20"/>
          <w:szCs w:val="20"/>
        </w:rPr>
        <w:br/>
        <w:t xml:space="preserve">Die näheren Umstände der Bezahlung, die Regelung von Verzugszinsen
sowie gegebenenfalls die Einbehaltung eines Haftungsrücklasses sind
ebenfalls zentrale Vertragsbedingungen.</w:t>
      </w:r>
    </w:p>
    <w:p>
      <w:pPr>
        <w:numPr>
          <w:ilvl w:val="0"/>
          <w:numId w:val="5102745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Termine und Schulung:</w:t>
      </w:r>
      <w:r>
        <w:rPr>
          <w:rFonts w:ascii="Arial" w:hAnsi="Arial" w:eastAsia="Arial" w:cs="Arial"/>
          <w:color w:val="000000"/>
          <w:sz w:val="20"/>
          <w:szCs w:val="20"/>
        </w:rPr>
        <w:br/>
        <w:t xml:space="preserve">Eine genaue Terminisierung der Leistungserbringung ist unabdingbar.
Diese kann gegebenenfalls mit einer Konventionalstrafe abgesichert
werden. Üblich ist auch, dass der Verkäufer den Käufer bzw dessen
Leute einschult, was vertraglich auch näher geregelt sein
sollte.</w:t>
      </w:r>
    </w:p>
    <w:p>
      <w:pPr>
        <w:numPr>
          <w:ilvl w:val="0"/>
          <w:numId w:val="5102745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Qualitätsanforderungen:</w:t>
      </w:r>
      <w:r>
        <w:rPr>
          <w:rFonts w:ascii="Arial" w:hAnsi="Arial" w:eastAsia="Arial" w:cs="Arial"/>
          <w:color w:val="000000"/>
          <w:sz w:val="20"/>
          <w:szCs w:val="20"/>
        </w:rPr>
        <w:br/>
        <w:t xml:space="preserve">Sollten spezielle Funktionalitäten und Anforderungen gestellt
werden, sind diese – gegebenenfalls im Pflichtenheft – näher zu
definieren. Hiezu zählt zB die Benutzerfreundlichkeit, Robustheit
gegen Bedienungs- und Hardwarefehler (keine Datenverluste),
Anpassbarkeit an andere Betriebssysteme etc.</w:t>
      </w:r>
    </w:p>
    <w:p>
      <w:pPr>
        <w:numPr>
          <w:ilvl w:val="0"/>
          <w:numId w:val="5102745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Abnahme:</w:t>
      </w:r>
      <w:r>
        <w:rPr>
          <w:rFonts w:ascii="Arial" w:hAnsi="Arial" w:eastAsia="Arial" w:cs="Arial"/>
          <w:color w:val="000000"/>
          <w:sz w:val="20"/>
          <w:szCs w:val="20"/>
        </w:rPr>
        <w:br/>
        <w:t xml:space="preserve">Es empfiehlt sich eine Regelung, wann die gelieferte Software als
mängelfrei abgenommen gilt (zB wenn der Käufer die Lieferung nicht
binnen einer bestimmten Frist schriftlich rügt). Es ist auch
üblich, einen Abnahmetest näher zu definieren, den die Software vor
Abnahme zu bestehen hat.</w:t>
      </w:r>
    </w:p>
    <w:p>
      <w:pPr>
        <w:numPr>
          <w:ilvl w:val="0"/>
          <w:numId w:val="5102745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Schutzrechte:</w:t>
      </w:r>
      <w:r>
        <w:rPr>
          <w:rFonts w:ascii="Arial" w:hAnsi="Arial" w:eastAsia="Arial" w:cs="Arial"/>
          <w:color w:val="000000"/>
          <w:sz w:val="20"/>
          <w:szCs w:val="20"/>
        </w:rPr>
        <w:br/>
        <w:t xml:space="preserve">Da Computerprogramme urheberrechtlich geschützt sind (§ 40a–e
UrhG), ist eine Regelung vorzusehen, dass dem Käufer, so weit dies
für die vertragsmäßige Verwendung erforderlich ist, daran ein
Werknutzungsrecht (ausschließliches Nutzungsrecht nach § 24
UrhG) oder eine Werknutzungsbewilligung (nicht ausschließlich)
zusteht. Sollte in Schutzrechte Dritter eingegriffen werden, sollte
eine Haftungsfreistellung des Käufers durch den Verkäufer normiert
werden. Eine Werknutzungsbewilligung kommt ebenso ein Betracht;
diese ist allerdings nicht exklusiv auf einen Vertragspartner
beschränkt und kann somit auch mit anderen Kunden vereinbart
werden. Letztere wird daher bei Standardsoftware meist zwingend
gewählt werden müssen.</w:t>
      </w:r>
    </w:p>
    <w:p>
      <w:pPr>
        <w:numPr>
          <w:ilvl w:val="0"/>
          <w:numId w:val="510274502"/>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Gewährleistung:</w:t>
      </w:r>
      <w:r>
        <w:rPr>
          <w:rFonts w:ascii="Arial" w:hAnsi="Arial" w:eastAsia="Arial" w:cs="Arial"/>
          <w:color w:val="000000"/>
          <w:sz w:val="20"/>
          <w:szCs w:val="20"/>
        </w:rPr>
        <w:br/>
        <w:t xml:space="preserve">Eine Modifikation der Gewährleistungsbestimmungen ist allenfalls
möglich, soweit dies gesetzlich zulässig ist. Darüber hinaus ist es
möglich, eine Garantie für einen bestimmten Zeitraum zu
vereinbaren.</w:t>
      </w:r>
    </w:p>
    <w:p>
      <w:pPr>
        <w:numPr>
          <w:ilvl w:val="0"/>
          <w:numId w:val="510274502"/>
        </w:numPr>
        <w:spacing w:before="0" w:after="0" w:line="288" w:lineRule="auto"/>
        <w:jc w:val="left"/>
        <w:rPr>
          <w:rFonts w:ascii="Arial" w:hAnsi="Arial" w:eastAsia="Arial" w:cs="Arial"/>
          <w:color w:val="000000"/>
          <w:sz w:val="20"/>
          <w:szCs w:val="20"/>
        </w:rPr>
      </w:pPr>
    </w:p>
    <w:p>
      <w:pPr>
        <w:widowControl w:val="on"/>
        <w:pBdr/>
        <w:spacing w:before="140" w:after="240" w:line="288" w:lineRule="auto"/>
        <w:ind w:left="0" w:right="0"/>
        <w:jc w:val="left"/>
      </w:pPr>
      <w:r>
        <w:rPr>
          <w:rFonts w:ascii="Arial" w:hAnsi="Arial" w:eastAsia="Arial" w:cs="Arial"/>
          <w:b/>
          <w:bCs/>
          <w:color w:val="000000"/>
          <w:sz w:val="20"/>
          <w:szCs w:val="20"/>
        </w:rPr>
        <w:t xml:space="preserve">Support:</w:t>
      </w:r>
      <w:r>
        <w:rPr>
          <w:rFonts w:ascii="Arial" w:hAnsi="Arial" w:eastAsia="Arial" w:cs="Arial"/>
          <w:color w:val="000000"/>
          <w:sz w:val="20"/>
          <w:szCs w:val="20"/>
        </w:rPr>
        <w:br/>
        <w:t xml:space="preserve">Supportbestimmungen in einem Vertrag sollen klare Richtlinien und
Vereinbarungen festlegen, wie der Support für die erworbene
Software bereitgestellt wird. Diese Bestimmungen sind wichtig, um
sicherzustellen, dass der Kunde bei Fragen, Problemen oder Bedarf
an Hilfeleistungen angemessen unterstützt wird. Sie umfassen die
Verfügbarkeit, Kontaktoptionen und Verantwortlichkeiten für den
Support, sowie Eskalationsverfahren, Reaktionszeiten und Kosten.
Weitere Aspekte sind Software-Updates, Wartungsdienste, die
Gewährleistungsdauer, Beendigungsoptionen und Haftungsausschlüsse.
Vertraulichkeit und Datenschutz sind ebenfalls wichtige Aspekte,
die berücksichtigt werden müssen.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027450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6612719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6379853">
    <w:multiLevelType w:val="hybridMultilevel"/>
    <w:lvl w:ilvl="0" w:tplc="93343924">
      <w:start w:val="1"/>
      <w:numFmt w:val="decimal"/>
      <w:lvlText w:val="%1."/>
      <w:lvlJc w:val="left"/>
      <w:pPr>
        <w:ind w:left="720" w:hanging="360"/>
      </w:pPr>
    </w:lvl>
    <w:lvl w:ilvl="1" w:tplc="93343924" w:tentative="1">
      <w:start w:val="1"/>
      <w:numFmt w:val="lowerLetter"/>
      <w:lvlText w:val="%2."/>
      <w:lvlJc w:val="left"/>
      <w:pPr>
        <w:ind w:left="1440" w:hanging="360"/>
      </w:pPr>
    </w:lvl>
    <w:lvl w:ilvl="2" w:tplc="93343924" w:tentative="1">
      <w:start w:val="1"/>
      <w:numFmt w:val="lowerRoman"/>
      <w:lvlText w:val="%3."/>
      <w:lvlJc w:val="right"/>
      <w:pPr>
        <w:ind w:left="2160" w:hanging="180"/>
      </w:pPr>
    </w:lvl>
    <w:lvl w:ilvl="3" w:tplc="93343924" w:tentative="1">
      <w:start w:val="1"/>
      <w:numFmt w:val="decimal"/>
      <w:lvlText w:val="%4."/>
      <w:lvlJc w:val="left"/>
      <w:pPr>
        <w:ind w:left="2880" w:hanging="360"/>
      </w:pPr>
    </w:lvl>
    <w:lvl w:ilvl="4" w:tplc="93343924" w:tentative="1">
      <w:start w:val="1"/>
      <w:numFmt w:val="lowerLetter"/>
      <w:lvlText w:val="%5."/>
      <w:lvlJc w:val="left"/>
      <w:pPr>
        <w:ind w:left="3600" w:hanging="360"/>
      </w:pPr>
    </w:lvl>
    <w:lvl w:ilvl="5" w:tplc="93343924" w:tentative="1">
      <w:start w:val="1"/>
      <w:numFmt w:val="lowerRoman"/>
      <w:lvlText w:val="%6."/>
      <w:lvlJc w:val="right"/>
      <w:pPr>
        <w:ind w:left="4320" w:hanging="180"/>
      </w:pPr>
    </w:lvl>
    <w:lvl w:ilvl="6" w:tplc="93343924" w:tentative="1">
      <w:start w:val="1"/>
      <w:numFmt w:val="decimal"/>
      <w:lvlText w:val="%7."/>
      <w:lvlJc w:val="left"/>
      <w:pPr>
        <w:ind w:left="5040" w:hanging="360"/>
      </w:pPr>
    </w:lvl>
    <w:lvl w:ilvl="7" w:tplc="93343924" w:tentative="1">
      <w:start w:val="1"/>
      <w:numFmt w:val="lowerLetter"/>
      <w:lvlText w:val="%8."/>
      <w:lvlJc w:val="left"/>
      <w:pPr>
        <w:ind w:left="5760" w:hanging="360"/>
      </w:pPr>
    </w:lvl>
    <w:lvl w:ilvl="8" w:tplc="93343924" w:tentative="1">
      <w:start w:val="1"/>
      <w:numFmt w:val="lowerRoman"/>
      <w:lvlText w:val="%9."/>
      <w:lvlJc w:val="right"/>
      <w:pPr>
        <w:ind w:left="6480" w:hanging="180"/>
      </w:pPr>
    </w:lvl>
  </w:abstractNum>
  <w:abstractNum w:abstractNumId="26379852">
    <w:multiLevelType w:val="hybridMultilevel"/>
    <w:lvl w:ilvl="0" w:tplc="330955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379852">
    <w:abstractNumId w:val="26379852"/>
  </w:num>
  <w:num w:numId="26379853">
    <w:abstractNumId w:val="26379853"/>
  </w:num>
  <w:num w:numId="566127191">
    <w:abstractNumId w:val="566127191"/>
  </w:num>
  <w:num w:numId="510274502">
    <w:abstractNumId w:val="5102745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21334555" Type="http://schemas.openxmlformats.org/officeDocument/2006/relationships/numbering" Target="numbering.xml"/><Relationship Id="rId25473723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