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42429277" w:name="document"/>
    <w:bookmarkEnd w:id="42429277"/>
    <w:p/>
    <w:p>
      <w:pPr>
        <w:widowControl w:val="on"/>
        <w:pBdr/>
        <w:spacing w:before="0" w:after="280" w:line="240" w:lineRule="auto"/>
        <w:ind w:left="0" w:right="0"/>
        <w:jc w:val="left"/>
      </w:pPr>
      <w:r>
        <w:rPr>
          <w:rFonts w:ascii="Arial" w:hAnsi="Arial" w:eastAsia="Arial" w:cs="Arial"/>
          <w:color w:val="363A40"/>
          <w:sz w:val="24"/>
          <w:szCs w:val="24"/>
        </w:rPr>
        <w:t xml:space="preserve">Dokument-ID: 1287096 | Redaktion FORUM Media |
Muster | Unterweisungsvorlage</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Kündigungs- oder Entlassungsschreiben analysieren</w:t>
      </w:r>
    </w:p>
    <w:p>
      <w:pPr>
        <w:widowControl w:val="on"/>
        <w:pBdr/>
        <w:spacing w:before="140" w:after="240" w:line="288" w:lineRule="auto"/>
        <w:ind w:left="0" w:right="0"/>
        <w:jc w:val="left"/>
      </w:pPr>
      <w:r>
        <w:rPr>
          <w:rFonts w:ascii="Arial" w:hAnsi="Arial" w:eastAsia="Arial" w:cs="Arial"/>
          <w:i/>
          <w:iCs/>
          <w:color w:val="000000"/>
          <w:sz w:val="20"/>
          <w:szCs w:val="20"/>
        </w:rPr>
        <w:t xml:space="preserve">Du unterstützt bei der </w:t>
      </w:r>
      <w:r>
        <w:rPr>
          <w:rFonts w:ascii="Arial" w:hAnsi="Arial" w:eastAsia="Arial" w:cs="Arial"/>
          <w:i/>
          <w:iCs/>
          <w:color w:val="000000"/>
          <w:sz w:val="20"/>
          <w:szCs w:val="20"/>
        </w:rPr>
        <w:t xml:space="preserve">Vorbereitung</w:t>
      </w:r>
      <w:r>
        <w:rPr>
          <w:rFonts w:ascii="Arial" w:hAnsi="Arial" w:eastAsia="Arial" w:cs="Arial"/>
          <w:i/>
          <w:iCs/>
          <w:color w:val="000000"/>
          <w:sz w:val="20"/>
          <w:szCs w:val="20"/>
        </w:rPr>
        <w:t xml:space="preserve"> einer
juristischen Arbeitsaufgabe.</w:t>
      </w:r>
      <w:r>
        <w:rPr>
          <w:rFonts w:ascii="Arial" w:hAnsi="Arial" w:eastAsia="Arial" w:cs="Arial"/>
          <w:i/>
          <w:iCs/>
          <w:color w:val="000000"/>
          <w:sz w:val="20"/>
          <w:szCs w:val="20"/>
        </w:rPr>
        <w:br/>
        <w:t xml:space="preserve">Es</w:t>
      </w:r>
      <w:r>
        <w:rPr>
          <w:rFonts w:ascii="Arial" w:hAnsi="Arial" w:eastAsia="Arial" w:cs="Arial"/>
          <w:i/>
          <w:iCs/>
          <w:color w:val="000000"/>
          <w:sz w:val="20"/>
          <w:szCs w:val="20"/>
        </w:rPr>
        <w:t xml:space="preserve"> gilt österreichisches Recht, soweit nicht ausdrücklich
anders angegeben.</w:t>
      </w:r>
    </w:p>
    <w:p>
      <w:pPr>
        <w:widowControl w:val="on"/>
        <w:pBdr/>
        <w:spacing w:before="140" w:after="240" w:line="288" w:lineRule="auto"/>
        <w:ind w:left="0" w:right="0"/>
        <w:jc w:val="left"/>
      </w:pPr>
      <w:r>
        <w:rPr>
          <w:rFonts w:ascii="Arial" w:hAnsi="Arial" w:eastAsia="Arial" w:cs="Arial"/>
          <w:i/>
          <w:iCs/>
          <w:color w:val="000000"/>
          <w:sz w:val="20"/>
          <w:szCs w:val="20"/>
        </w:rPr>
        <w:t xml:space="preserve">Arbeite ausschließlich mit dem bereitgestellten Sachverhalt
und den bereitgestellten Dokumenten. Trenne klar zwischen
Tatsachen, rechtlichen Fragen, Annahmen und offenen Punkten.
Erfinde keine Tatsachen, Vertragsklauseln, Normen, Judikatur,
Zitate oder Quellen. Wenn Rechtsquellen nicht verifiziert
vorliegen, formuliere nur Prüfhinweise und nenne die zu
überprüfenden Rechtsfragen.</w:t>
      </w:r>
    </w:p>
    <w:p>
      <w:pPr>
        <w:widowControl w:val="on"/>
        <w:pBdr/>
        <w:spacing w:before="140" w:after="240" w:line="288" w:lineRule="auto"/>
        <w:ind w:left="0" w:right="0"/>
        <w:jc w:val="left"/>
      </w:pPr>
      <w:r>
        <w:rPr>
          <w:rFonts w:ascii="Arial" w:hAnsi="Arial" w:eastAsia="Arial" w:cs="Arial"/>
          <w:i/>
          <w:iCs/>
          <w:color w:val="000000"/>
          <w:sz w:val="20"/>
          <w:szCs w:val="20"/>
        </w:rPr>
        <w:t xml:space="preserve">Analysiere das folgende Kündigungs-, Entlassungs- oder
sonstige Beendigungsschreiben als Arbeitsunterlage für die
anwaltliche Prüfung.</w:t>
      </w:r>
    </w:p>
    <w:p>
      <w:pPr>
        <w:widowControl w:val="on"/>
        <w:pBdr/>
        <w:spacing w:before="140" w:after="240" w:line="288" w:lineRule="auto"/>
        <w:ind w:left="0" w:right="0"/>
        <w:jc w:val="left"/>
      </w:pPr>
      <w:r>
        <w:rPr>
          <w:rFonts w:ascii="Arial" w:hAnsi="Arial" w:eastAsia="Arial" w:cs="Arial"/>
          <w:i/>
          <w:iCs/>
          <w:color w:val="000000"/>
          <w:sz w:val="20"/>
          <w:szCs w:val="20"/>
        </w:rPr>
        <w:t xml:space="preserve">Gliedere:</w:t>
      </w:r>
    </w:p>
    <w:p>
      <w:pPr>
        <w:widowControl w:val="on"/>
        <w:pBdr/>
        <w:spacing w:before="140" w:after="240" w:line="288" w:lineRule="auto"/>
        <w:ind w:left="0" w:right="0"/>
        <w:jc w:val="left"/>
      </w:pPr>
      <w:r>
        <w:rPr>
          <w:rFonts w:ascii="Arial" w:hAnsi="Arial" w:eastAsia="Arial" w:cs="Arial"/>
          <w:i/>
          <w:iCs/>
          <w:color w:val="000000"/>
          <w:sz w:val="20"/>
          <w:szCs w:val="20"/>
        </w:rPr>
        <w:t xml:space="preserve">A. Absender und Empfänger</w:t>
      </w:r>
      <w:r>
        <w:rPr>
          <w:rFonts w:ascii="Arial" w:hAnsi="Arial" w:eastAsia="Arial" w:cs="Arial"/>
          <w:i/>
          <w:iCs/>
          <w:color w:val="000000"/>
          <w:sz w:val="20"/>
          <w:szCs w:val="20"/>
        </w:rPr>
        <w:br/>
        <w:t xml:space="preserve">B. Erklärungsart</w:t>
      </w:r>
      <w:r>
        <w:rPr>
          <w:rFonts w:ascii="Arial" w:hAnsi="Arial" w:eastAsia="Arial" w:cs="Arial"/>
          <w:i/>
          <w:iCs/>
          <w:color w:val="000000"/>
          <w:sz w:val="20"/>
          <w:szCs w:val="20"/>
        </w:rPr>
        <w:br/>
        <w:t xml:space="preserve">C. Inhalt und behaupteter Grund</w:t>
      </w:r>
      <w:r>
        <w:rPr>
          <w:rFonts w:ascii="Arial" w:hAnsi="Arial" w:eastAsia="Arial" w:cs="Arial"/>
          <w:i/>
          <w:iCs/>
          <w:color w:val="000000"/>
          <w:sz w:val="20"/>
          <w:szCs w:val="20"/>
        </w:rPr>
        <w:br/>
        <w:t xml:space="preserve">D. Zugang und Zustellung</w:t>
      </w:r>
      <w:r>
        <w:rPr>
          <w:rFonts w:ascii="Arial" w:hAnsi="Arial" w:eastAsia="Arial" w:cs="Arial"/>
          <w:i/>
          <w:iCs/>
          <w:color w:val="000000"/>
          <w:sz w:val="20"/>
          <w:szCs w:val="20"/>
        </w:rPr>
        <w:br/>
        <w:t xml:space="preserve">E. Genannte Fristen und Termine</w:t>
      </w:r>
      <w:r>
        <w:rPr>
          <w:rFonts w:ascii="Arial" w:hAnsi="Arial" w:eastAsia="Arial" w:cs="Arial"/>
          <w:i/>
          <w:iCs/>
          <w:color w:val="000000"/>
          <w:sz w:val="20"/>
          <w:szCs w:val="20"/>
        </w:rPr>
        <w:br/>
        <w:t xml:space="preserve">F. Behauptete Tatsachen</w:t>
      </w:r>
      <w:r>
        <w:rPr>
          <w:rFonts w:ascii="Arial" w:hAnsi="Arial" w:eastAsia="Arial" w:cs="Arial"/>
          <w:i/>
          <w:iCs/>
          <w:color w:val="000000"/>
          <w:sz w:val="20"/>
          <w:szCs w:val="20"/>
        </w:rPr>
        <w:br/>
        <w:t xml:space="preserve">G. Vorhandene Beweismittel</w:t>
      </w:r>
      <w:r>
        <w:rPr>
          <w:rFonts w:ascii="Arial" w:hAnsi="Arial" w:eastAsia="Arial" w:cs="Arial"/>
          <w:i/>
          <w:iCs/>
          <w:color w:val="000000"/>
          <w:sz w:val="20"/>
          <w:szCs w:val="20"/>
        </w:rPr>
        <w:br/>
        <w:t xml:space="preserve">H. Zu prüfende formelle und materielle Voraussetzungen</w:t>
      </w:r>
      <w:r>
        <w:rPr>
          <w:rFonts w:ascii="Arial" w:hAnsi="Arial" w:eastAsia="Arial" w:cs="Arial"/>
          <w:i/>
          <w:iCs/>
          <w:color w:val="000000"/>
          <w:sz w:val="20"/>
          <w:szCs w:val="20"/>
        </w:rPr>
        <w:br/>
        <w:t xml:space="preserve">I. Besonderer Kündigungs- oder Entlassungsschutz</w:t>
      </w:r>
      <w:r>
        <w:rPr>
          <w:rFonts w:ascii="Arial" w:hAnsi="Arial" w:eastAsia="Arial" w:cs="Arial"/>
          <w:i/>
          <w:iCs/>
          <w:color w:val="000000"/>
          <w:sz w:val="20"/>
          <w:szCs w:val="20"/>
        </w:rPr>
        <w:br/>
        <w:t xml:space="preserve">J. Sofort zu sichernde Unterlagen</w:t>
      </w:r>
      <w:r>
        <w:rPr>
          <w:rFonts w:ascii="Arial" w:hAnsi="Arial" w:eastAsia="Arial" w:cs="Arial"/>
          <w:i/>
          <w:iCs/>
          <w:color w:val="000000"/>
          <w:sz w:val="20"/>
          <w:szCs w:val="20"/>
        </w:rPr>
        <w:br/>
        <w:t xml:space="preserve">K. Offene Fragen an die Mandantschaft</w:t>
      </w:r>
    </w:p>
    <w:p>
      <w:pPr>
        <w:widowControl w:val="on"/>
        <w:pBdr/>
        <w:spacing w:before="140" w:after="240" w:line="288" w:lineRule="auto"/>
        <w:ind w:left="0" w:right="0"/>
        <w:jc w:val="left"/>
      </w:pPr>
      <w:r>
        <w:rPr>
          <w:rFonts w:ascii="Arial" w:hAnsi="Arial" w:eastAsia="Arial" w:cs="Arial"/>
          <w:i/>
          <w:iCs/>
          <w:color w:val="000000"/>
          <w:sz w:val="20"/>
          <w:szCs w:val="20"/>
        </w:rPr>
        <w:t xml:space="preserve">Weise ausdrücklich darauf hin, dass Zugang, Fristen,
Kollektivvertrag, Betriebsrat und besonderer Schutz unverzüglich
anhand der Originalunterlagen geprüft werden müssen.</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109204">
    <w:multiLevelType w:val="hybridMultilevel"/>
    <w:lvl w:ilvl="0" w:tplc="13921261">
      <w:start w:val="1"/>
      <w:numFmt w:val="decimal"/>
      <w:lvlText w:val="%1."/>
      <w:lvlJc w:val="left"/>
      <w:pPr>
        <w:ind w:left="720" w:hanging="360"/>
      </w:pPr>
    </w:lvl>
    <w:lvl w:ilvl="1" w:tplc="13921261" w:tentative="1">
      <w:start w:val="1"/>
      <w:numFmt w:val="lowerLetter"/>
      <w:lvlText w:val="%2."/>
      <w:lvlJc w:val="left"/>
      <w:pPr>
        <w:ind w:left="1440" w:hanging="360"/>
      </w:pPr>
    </w:lvl>
    <w:lvl w:ilvl="2" w:tplc="13921261" w:tentative="1">
      <w:start w:val="1"/>
      <w:numFmt w:val="lowerRoman"/>
      <w:lvlText w:val="%3."/>
      <w:lvlJc w:val="right"/>
      <w:pPr>
        <w:ind w:left="2160" w:hanging="180"/>
      </w:pPr>
    </w:lvl>
    <w:lvl w:ilvl="3" w:tplc="13921261" w:tentative="1">
      <w:start w:val="1"/>
      <w:numFmt w:val="decimal"/>
      <w:lvlText w:val="%4."/>
      <w:lvlJc w:val="left"/>
      <w:pPr>
        <w:ind w:left="2880" w:hanging="360"/>
      </w:pPr>
    </w:lvl>
    <w:lvl w:ilvl="4" w:tplc="13921261" w:tentative="1">
      <w:start w:val="1"/>
      <w:numFmt w:val="lowerLetter"/>
      <w:lvlText w:val="%5."/>
      <w:lvlJc w:val="left"/>
      <w:pPr>
        <w:ind w:left="3600" w:hanging="360"/>
      </w:pPr>
    </w:lvl>
    <w:lvl w:ilvl="5" w:tplc="13921261" w:tentative="1">
      <w:start w:val="1"/>
      <w:numFmt w:val="lowerRoman"/>
      <w:lvlText w:val="%6."/>
      <w:lvlJc w:val="right"/>
      <w:pPr>
        <w:ind w:left="4320" w:hanging="180"/>
      </w:pPr>
    </w:lvl>
    <w:lvl w:ilvl="6" w:tplc="13921261" w:tentative="1">
      <w:start w:val="1"/>
      <w:numFmt w:val="decimal"/>
      <w:lvlText w:val="%7."/>
      <w:lvlJc w:val="left"/>
      <w:pPr>
        <w:ind w:left="5040" w:hanging="360"/>
      </w:pPr>
    </w:lvl>
    <w:lvl w:ilvl="7" w:tplc="13921261" w:tentative="1">
      <w:start w:val="1"/>
      <w:numFmt w:val="lowerLetter"/>
      <w:lvlText w:val="%8."/>
      <w:lvlJc w:val="left"/>
      <w:pPr>
        <w:ind w:left="5760" w:hanging="360"/>
      </w:pPr>
    </w:lvl>
    <w:lvl w:ilvl="8" w:tplc="13921261" w:tentative="1">
      <w:start w:val="1"/>
      <w:numFmt w:val="lowerRoman"/>
      <w:lvlText w:val="%9."/>
      <w:lvlJc w:val="right"/>
      <w:pPr>
        <w:ind w:left="6480" w:hanging="180"/>
      </w:pPr>
    </w:lvl>
  </w:abstractNum>
  <w:abstractNum w:abstractNumId="93109203">
    <w:multiLevelType w:val="hybridMultilevel"/>
    <w:lvl w:ilvl="0" w:tplc="763576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109203">
    <w:abstractNumId w:val="93109203"/>
  </w:num>
  <w:num w:numId="93109204">
    <w:abstractNumId w:val="9310920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488630980" Type="http://schemas.openxmlformats.org/officeDocument/2006/relationships/numbering" Target="numbering.xml"/><Relationship Id="rId766753035"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