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8668383" w:name="document"/>
    <w:bookmarkEnd w:id="28668383"/>
    <w:p/>
    <w:p>
      <w:pPr>
        <w:widowControl w:val="on"/>
        <w:pBdr/>
        <w:spacing w:before="0" w:after="280" w:line="240" w:lineRule="auto"/>
        <w:ind w:left="0" w:right="0"/>
        <w:jc w:val="left"/>
      </w:pPr>
      <w:r>
        <w:rPr>
          <w:rFonts w:ascii="Arial" w:hAnsi="Arial" w:eastAsia="Arial" w:cs="Arial"/>
          <w:color w:val="363A40"/>
          <w:sz w:val="24"/>
          <w:szCs w:val="24"/>
        </w:rPr>
        <w:t xml:space="preserve">Dokument-ID: 1084887 | FORUM Media (red)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Scheidungs(folgen)vereinbarung mit Ehegattenunterhaltsverzicht,
gemeinsame Obsorge, Übertragung Liegenschaftsanteile</w:t>
      </w:r>
    </w:p>
    <w:p>
      <w:pPr>
        <w:widowControl w:val="on"/>
        <w:pBdr/>
        <w:spacing w:before="140" w:after="240" w:line="288" w:lineRule="auto"/>
        <w:ind w:left="0" w:right="0"/>
        <w:jc w:val="left"/>
      </w:pPr>
      <w:r>
        <w:rPr>
          <w:rFonts w:ascii="Arial" w:hAnsi="Arial" w:eastAsia="Arial" w:cs="Arial"/>
          <w:color w:val="000000"/>
          <w:sz w:val="20"/>
          <w:szCs w:val="20"/>
        </w:rPr>
        <w:t xml:space="preserve">Vereinbarung gem § 55a Abs 2 EheG</w:t>
      </w:r>
    </w:p>
    <w:p>
      <w:pPr>
        <w:widowControl w:val="on"/>
        <w:pBdr/>
        <w:spacing w:before="140" w:after="240" w:line="288" w:lineRule="auto"/>
        <w:ind w:left="0" w:right="0"/>
        <w:jc w:val="left"/>
      </w:pPr>
      <w:r>
        <w:rPr>
          <w:rFonts w:ascii="Arial" w:hAnsi="Arial" w:eastAsia="Arial" w:cs="Arial"/>
          <w:color w:val="000000"/>
          <w:sz w:val="20"/>
          <w:szCs w:val="20"/>
        </w:rPr>
        <w:t xml:space="preserve">Erstantragsteller: …</w:t>
      </w:r>
      <w:r>
        <w:rPr>
          <w:rFonts w:ascii="Arial" w:hAnsi="Arial" w:eastAsia="Arial" w:cs="Arial"/>
          <w:color w:val="000000"/>
          <w:sz w:val="20"/>
          <w:szCs w:val="20"/>
        </w:rPr>
        <w:br/>
        <w:t xml:space="preserve">geboren am …, Beruf …</w:t>
      </w:r>
      <w:r>
        <w:rPr>
          <w:rFonts w:ascii="Arial" w:hAnsi="Arial" w:eastAsia="Arial" w:cs="Arial"/>
          <w:color w:val="000000"/>
          <w:sz w:val="20"/>
          <w:szCs w:val="20"/>
        </w:rPr>
        <w:br/>
        <w:t xml:space="preserve">wohnhaft in …</w:t>
      </w:r>
    </w:p>
    <w:p>
      <w:pPr>
        <w:widowControl w:val="on"/>
        <w:pBdr/>
        <w:spacing w:before="140" w:after="240" w:line="288" w:lineRule="auto"/>
        <w:ind w:left="0" w:right="0"/>
        <w:jc w:val="left"/>
      </w:pPr>
      <w:r>
        <w:rPr>
          <w:rFonts w:ascii="Arial" w:hAnsi="Arial" w:eastAsia="Arial" w:cs="Arial"/>
          <w:color w:val="000000"/>
          <w:sz w:val="20"/>
          <w:szCs w:val="20"/>
        </w:rPr>
        <w:t xml:space="preserve">Zweitantragstellerin: …</w:t>
      </w:r>
      <w:r>
        <w:rPr>
          <w:rFonts w:ascii="Arial" w:hAnsi="Arial" w:eastAsia="Arial" w:cs="Arial"/>
          <w:color w:val="000000"/>
          <w:sz w:val="20"/>
          <w:szCs w:val="20"/>
        </w:rPr>
        <w:br/>
        <w:t xml:space="preserve">geboren am …, Beruf …</w:t>
      </w:r>
      <w:r>
        <w:rPr>
          <w:rFonts w:ascii="Arial" w:hAnsi="Arial" w:eastAsia="Arial" w:cs="Arial"/>
          <w:color w:val="000000"/>
          <w:sz w:val="20"/>
          <w:szCs w:val="20"/>
        </w:rPr>
        <w:br/>
        <w:t xml:space="preserve">wohnhaft in …</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Ehegattenunterhalt</w:t>
      </w:r>
    </w:p>
    <w:p>
      <w:pPr>
        <w:widowControl w:val="on"/>
        <w:pBdr/>
        <w:spacing w:before="140" w:after="240" w:line="288" w:lineRule="auto"/>
        <w:ind w:left="0" w:right="0"/>
        <w:jc w:val="left"/>
      </w:pPr>
      <w:r>
        <w:rPr>
          <w:rFonts w:ascii="Arial" w:hAnsi="Arial" w:eastAsia="Arial" w:cs="Arial"/>
          <w:color w:val="000000"/>
          <w:sz w:val="20"/>
          <w:szCs w:val="20"/>
        </w:rPr>
        <w:t xml:space="preserve">Beide Antragsteller verzichten wechselseitig auf jeglichen
Unterhalt, dies gilt auch für den Fall geänderter Verhältnisse,
geänderter gesetzlicher Bestimmungen oder unverschuldeter Notlage,
Krankheit und überhaupt für Ereignisse, die die Antragsteller
derzeit nicht bedenken oder nicht voraussehen können.</w:t>
      </w:r>
    </w:p>
    <w:p>
      <w:pPr>
        <w:widowControl w:val="on"/>
        <w:pBdr/>
        <w:spacing w:before="140" w:after="240" w:line="288" w:lineRule="auto"/>
        <w:ind w:left="0" w:right="0"/>
        <w:jc w:val="left"/>
      </w:pPr>
      <w:r>
        <w:rPr>
          <w:rFonts w:ascii="Arial" w:hAnsi="Arial" w:eastAsia="Arial" w:cs="Arial"/>
          <w:color w:val="000000"/>
          <w:sz w:val="20"/>
          <w:szCs w:val="20"/>
        </w:rPr>
        <w:t xml:space="preserve">Beide Antragsteller verzichten ausdrücklich auf die
Geltendmachung der Umstandsklausel und erklären, keine
Unterhaltsansprüche aus einem allfälligen, bewusst nicht geprüften
Verschulden an der Zerrüttung der Ehe ableiten zu wollen. Weiters
wird einvernehmlich festgehalten, dass kein Unterhaltsrückstand
besteht. Den Parteien ist dabei bekannt, dass sie auch in Zukunft
keinen wechselseitigen Anspruch auf Unterhalt geltend machen können
und auch keinen Anspruch auf Hinterbliebenenpension haben.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Obsorge</w:t>
      </w:r>
    </w:p>
    <w:p>
      <w:pPr>
        <w:widowControl w:val="on"/>
        <w:pBdr/>
        <w:spacing w:before="140" w:after="240" w:line="288" w:lineRule="auto"/>
        <w:ind w:left="0" w:right="0"/>
        <w:jc w:val="left"/>
      </w:pPr>
      <w:r>
        <w:rPr>
          <w:rFonts w:ascii="Arial" w:hAnsi="Arial" w:eastAsia="Arial" w:cs="Arial"/>
          <w:color w:val="000000"/>
          <w:sz w:val="20"/>
          <w:szCs w:val="20"/>
        </w:rPr>
        <w:t xml:space="preserve">Die beiden Antragsteller vereinbaren hinsichtlich des
gemeinsamen mj Sohnes …, geboren am …, und der gemeinsamen mj
Tochter …, geboren am …, dass mit der Obsorge, das ist das Recht
und die Pflicht, die mj Kinder zu pflegen und zu erziehen, ihr
Vermögen zu verwalten und sie zu vertreten, nach der Ehescheidung
die beiden weiterhin gemeinsam betraut sind.</w:t>
      </w:r>
    </w:p>
    <w:p>
      <w:pPr>
        <w:widowControl w:val="on"/>
        <w:pBdr/>
        <w:spacing w:before="140" w:after="240" w:line="288" w:lineRule="auto"/>
        <w:ind w:left="0" w:right="0"/>
        <w:jc w:val="left"/>
      </w:pPr>
      <w:r>
        <w:rPr>
          <w:rFonts w:ascii="Arial" w:hAnsi="Arial" w:eastAsia="Arial" w:cs="Arial"/>
          <w:color w:val="000000"/>
          <w:sz w:val="20"/>
          <w:szCs w:val="20"/>
        </w:rPr>
        <w:t xml:space="preserve">Die beiden mj Kinder … und … werden hauptsächlich im Haushalt
der Zweitantragstellerin betreut.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Kindesunterhalt</w:t>
      </w:r>
    </w:p>
    <w:p>
      <w:pPr>
        <w:widowControl w:val="on"/>
        <w:pBdr/>
        <w:spacing w:before="140" w:after="240" w:line="288" w:lineRule="auto"/>
        <w:ind w:left="0" w:right="0"/>
        <w:jc w:val="left"/>
      </w:pPr>
      <w:r>
        <w:rPr>
          <w:rFonts w:ascii="Arial" w:hAnsi="Arial" w:eastAsia="Arial" w:cs="Arial"/>
          <w:color w:val="000000"/>
          <w:sz w:val="20"/>
          <w:szCs w:val="20"/>
        </w:rPr>
        <w:t xml:space="preserve">Der Erstantragsteller verpflichtet sich zur Bezahlung eines
monatlichen Unterhaltsbeitrages für … in Höhe von EUR … ab …,
längstens bis zur Selbsterhaltungsfähigkeit, sowie zur Bezahlung
eines monatlichen Unterhaltsbeitrages für … in Höhe von EUR …
ab …, längstens bis zur Selbsterhaltungsfähigkeit, jeweils zu
Handen der Kindesmutter. Diese monatlichen Unterhaltsbeiträge sind
am … eines jeden Monats im Vorhinein an die Zweitantragstellerin zu
bezahlen, wobei ein Respiro von 5 Tagen eingeräumt wird.</w:t>
      </w:r>
    </w:p>
    <w:p>
      <w:pPr>
        <w:widowControl w:val="on"/>
        <w:pBdr/>
        <w:spacing w:before="140" w:after="240" w:line="288" w:lineRule="auto"/>
        <w:ind w:left="0" w:right="0"/>
        <w:jc w:val="left"/>
      </w:pPr>
      <w:r>
        <w:rPr>
          <w:rFonts w:ascii="Arial" w:hAnsi="Arial" w:eastAsia="Arial" w:cs="Arial"/>
          <w:color w:val="000000"/>
          <w:sz w:val="20"/>
          <w:szCs w:val="20"/>
        </w:rPr>
        <w:t xml:space="preserve">Dieser Berechnung wird ein Nettodurchschnittseinkommen des
Erstantragstellers in Höhe von monatlich EUR … zugrunde
gelegt. Einvernehmlich wird festgehalten, dass bis … kein
Unterhaltsrückstand besteht.</w:t>
      </w:r>
    </w:p>
    <w:p>
      <w:pPr>
        <w:widowControl w:val="on"/>
        <w:pBdr/>
        <w:spacing w:before="140" w:after="240" w:line="288" w:lineRule="auto"/>
        <w:ind w:left="0" w:right="0"/>
        <w:jc w:val="left"/>
      </w:pPr>
      <w:r>
        <w:rPr>
          <w:rFonts w:ascii="Arial" w:hAnsi="Arial" w:eastAsia="Arial" w:cs="Arial"/>
          <w:color w:val="000000"/>
          <w:sz w:val="20"/>
          <w:szCs w:val="20"/>
        </w:rPr>
        <w:t xml:space="preserve">Zusätzlich zum obgenannten Kindesunterhalt und ohne Anrechnung
auf denselben verpflichtet sich der Erstantragsteller, die
monatliche Prämie in Höhe von derzeit EUR … für den auf den mj
gemeinsamen Sohn … lautenden Bausparvertrag mit der Kontonummer …
sowie die monatliche Prämie in Höhe von derzeit EUR … für den
auf die mj gemeinsame Tochter … lautenden Bausparvertrag mit der
Kontonummer … bis zum Ende der Laufzeit des jeweiligen Vertrages zu
bezahlen. Die Auszahlung der jeweiligen Bausparguthaben erfolgt an
die Zweitantragstellerin, die sich verpflichtet, die Guthaben für
die beiden gemeinsamen Kinder … und … zu verwenden.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Kontaktrecht</w:t>
      </w:r>
    </w:p>
    <w:p>
      <w:pPr>
        <w:widowControl w:val="on"/>
        <w:pBdr/>
        <w:spacing w:before="140" w:after="240" w:line="288" w:lineRule="auto"/>
        <w:ind w:left="0" w:right="0"/>
        <w:jc w:val="left"/>
      </w:pPr>
      <w:r>
        <w:rPr>
          <w:rFonts w:ascii="Arial" w:hAnsi="Arial" w:eastAsia="Arial" w:cs="Arial"/>
          <w:color w:val="000000"/>
          <w:sz w:val="20"/>
          <w:szCs w:val="20"/>
        </w:rPr>
        <w:t xml:space="preserve">Der Kindesvater ist berechtigt, die beiden mj Kinder in einer
Woche an zwei Tagen (dzt Modus von Dienstagabend bis
Donnerstagabend) sowie in der darauffolgenden Woche von
Freitagabend 19 Uhr bis Sonntagabend 19 Uhr zu sich zu nehmen.
Dabei ist der Kindesvater berechtigt, die Kinder von der Wohnung
der Kindesmutter abzuholen und sie im Falle einer einvernehmlichen
Verlängerung des Wochenendbesuchsrechtes am Montag in die jeweilige
Schule zu bringen.</w:t>
      </w:r>
    </w:p>
    <w:p>
      <w:pPr>
        <w:widowControl w:val="on"/>
        <w:pBdr/>
        <w:spacing w:before="140" w:after="240" w:line="288" w:lineRule="auto"/>
        <w:ind w:left="0" w:right="0"/>
        <w:jc w:val="left"/>
      </w:pPr>
      <w:r>
        <w:rPr>
          <w:rFonts w:ascii="Arial" w:hAnsi="Arial" w:eastAsia="Arial" w:cs="Arial"/>
          <w:color w:val="000000"/>
          <w:sz w:val="20"/>
          <w:szCs w:val="20"/>
        </w:rPr>
        <w:t xml:space="preserve">Die Kindeseltern vereinbaren ein Urlaubskontaktrecht des
Kindesvaters von zumindest zwei zusammenhängenden Wochen während
der Sommerferien und vereinbaren in diesem Zusammenhang, diesen
Urlaub zumindest sechs Monate davor abzuklären.</w:t>
      </w:r>
    </w:p>
    <w:p>
      <w:pPr>
        <w:widowControl w:val="on"/>
        <w:pBdr/>
        <w:spacing w:before="140" w:after="240" w:line="288" w:lineRule="auto"/>
        <w:ind w:left="0" w:right="0"/>
        <w:jc w:val="left"/>
      </w:pPr>
      <w:r>
        <w:rPr>
          <w:rFonts w:ascii="Arial" w:hAnsi="Arial" w:eastAsia="Arial" w:cs="Arial"/>
          <w:color w:val="000000"/>
          <w:sz w:val="20"/>
          <w:szCs w:val="20"/>
        </w:rPr>
        <w:t xml:space="preserve">Der Kindesvater ist darüber hinaus berechtigt, die beiden mj
Kinder eine halbe Woche in den Osterferien sowie eine Woche in den
Weihnachtsferien zu sich zu nehmen.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Liegenschaften</w:t>
      </w:r>
    </w:p>
    <w:p>
      <w:pPr>
        <w:widowControl w:val="on"/>
        <w:pBdr/>
        <w:spacing w:before="140" w:after="240" w:line="288" w:lineRule="auto"/>
        <w:ind w:left="0" w:right="0"/>
        <w:jc w:val="left"/>
      </w:pPr>
      <w:r>
        <w:rPr>
          <w:rFonts w:ascii="Arial" w:hAnsi="Arial" w:eastAsia="Arial" w:cs="Arial"/>
          <w:color w:val="000000"/>
          <w:sz w:val="20"/>
          <w:szCs w:val="20"/>
        </w:rPr>
        <w:t xml:space="preserve">Der Erstantragsteller ist Eigentümer von … Anteilen, die
Zweitantragstellerin Eigentümerin von … Anteilen der Liegenschaft
EZ … Grundbuch … Auf der genannten Liegenschaft mit der
Grundstücksadresse … befindet sich ein Einfamilienhaus, in dem sich
die bisherige Ehewohnung befindet. Die Liegenschaft hat
nachfolgenden Grundbuchsstand:</w:t>
      </w:r>
    </w:p>
    <w:p>
      <w:pPr>
        <w:widowControl w:val="on"/>
        <w:pBdr/>
        <w:spacing w:before="140" w:after="240" w:line="288" w:lineRule="auto"/>
        <w:ind w:left="0" w:right="0"/>
        <w:jc w:val="left"/>
      </w:pPr>
      <w:r>
        <w:rPr>
          <w:rFonts w:ascii="Arial" w:hAnsi="Arial" w:eastAsia="Arial" w:cs="Arial"/>
          <w:color w:val="000000"/>
          <w:sz w:val="20"/>
          <w:szCs w:val="20"/>
        </w:rPr>
        <w:t xml:space="preserve">… [Grundbuchsauszug einfügen]</w:t>
      </w:r>
    </w:p>
    <w:p>
      <w:pPr>
        <w:widowControl w:val="on"/>
        <w:pBdr/>
        <w:spacing w:before="140" w:after="240" w:line="288" w:lineRule="auto"/>
        <w:ind w:left="0" w:right="0"/>
        <w:jc w:val="left"/>
      </w:pPr>
      <w:r>
        <w:rPr>
          <w:rFonts w:ascii="Arial" w:hAnsi="Arial" w:eastAsia="Arial" w:cs="Arial"/>
          <w:color w:val="000000"/>
          <w:sz w:val="20"/>
          <w:szCs w:val="20"/>
        </w:rPr>
        <w:t xml:space="preserve">Die Zweitantragstellerin verpflichtet sich, unter Verzicht auf
jeglichen Räumungsaufschub bis längstens … gemeinsam mit den mj
Kindern … und … aus der ehelichen Wohnung unter Mitnahme ihrer
persönlichen Sachen auszuziehen.</w:t>
      </w:r>
    </w:p>
    <w:p>
      <w:pPr>
        <w:widowControl w:val="on"/>
        <w:pBdr/>
        <w:spacing w:before="140" w:after="240" w:line="288" w:lineRule="auto"/>
        <w:ind w:left="0" w:right="0"/>
        <w:jc w:val="left"/>
      </w:pPr>
      <w:r>
        <w:rPr>
          <w:rFonts w:ascii="Arial" w:hAnsi="Arial" w:eastAsia="Arial" w:cs="Arial"/>
          <w:color w:val="000000"/>
          <w:sz w:val="20"/>
          <w:szCs w:val="20"/>
        </w:rPr>
        <w:t xml:space="preserve">Die Zweitantragstellerin anerkennt das alleinige Eigentum des
Erstantragstellers an sämtlichen derzeit in der Ehewohnung
befindlichen Einrichtungsgegenständen.</w:t>
      </w:r>
    </w:p>
    <w:p>
      <w:pPr>
        <w:widowControl w:val="on"/>
        <w:pBdr/>
        <w:spacing w:before="140" w:after="240" w:line="288" w:lineRule="auto"/>
        <w:ind w:left="0" w:right="0"/>
        <w:jc w:val="left"/>
      </w:pPr>
      <w:r>
        <w:rPr>
          <w:rFonts w:ascii="Arial" w:hAnsi="Arial" w:eastAsia="Arial" w:cs="Arial"/>
          <w:color w:val="000000"/>
          <w:sz w:val="20"/>
          <w:szCs w:val="20"/>
        </w:rPr>
        <w:t xml:space="preserve">Die Zweitantragstellerin ist berechtigt, die Hälfte des in der
Ehewohnung befindlichen beweglichen Hausrates (Geschirr,
Bettwäsche, Handtücher etc) sowie die im Eigentum der gemeinsamen
mj Kinder stehenden Fahrnisse anlässlich ihres Auszuges aus der
Ehewohnung mitzunehmen.</w:t>
      </w:r>
    </w:p>
    <w:p>
      <w:pPr>
        <w:widowControl w:val="on"/>
        <w:pBdr/>
        <w:spacing w:before="140" w:after="240" w:line="288" w:lineRule="auto"/>
        <w:ind w:left="0" w:right="0"/>
        <w:jc w:val="left"/>
      </w:pPr>
      <w:r>
        <w:rPr>
          <w:rFonts w:ascii="Arial" w:hAnsi="Arial" w:eastAsia="Arial" w:cs="Arial"/>
          <w:color w:val="000000"/>
          <w:sz w:val="20"/>
          <w:szCs w:val="20"/>
        </w:rPr>
        <w:t xml:space="preserve">Die Zweitantragstellerin überträgt im Zuge der Aufteilung des
ehelichen Gebrauchsvermögens und der ehelichen Ersparnisse ihre …
Anteile an der Liegenschaft EZ … Grundbuch …, an den
Erstantragsteller und dieser übernimmt diese … Anteile an der
genannten Liegenschaft, sodass er Alleineigentümer dieser
Liegenschaft wird.</w:t>
      </w:r>
    </w:p>
    <w:p>
      <w:pPr>
        <w:widowControl w:val="on"/>
        <w:pBdr/>
        <w:spacing w:before="140" w:after="240" w:line="288" w:lineRule="auto"/>
        <w:ind w:left="0" w:right="0"/>
        <w:jc w:val="left"/>
      </w:pPr>
      <w:r>
        <w:rPr>
          <w:rFonts w:ascii="Arial" w:hAnsi="Arial" w:eastAsia="Arial" w:cs="Arial"/>
          <w:color w:val="000000"/>
          <w:sz w:val="20"/>
          <w:szCs w:val="20"/>
        </w:rPr>
        <w:t xml:space="preserve">…, geboren am …, erteilt hiermit ihre ausdrückliche und
unwiderrufliche Einwilligung, dass aufgrund dieses Vergleiches, ob
der in ihrem Eigentum stehenden … Anteile an der unter Punkt …
genannten Liegenschaft ohne ihr weiteres Wissen, jedoch nicht auf
ihre Kosten, das Eigentumsrecht für …, geboren am …, einverleibt
werde.</w:t>
      </w:r>
    </w:p>
    <w:p>
      <w:pPr>
        <w:widowControl w:val="on"/>
        <w:pBdr/>
        <w:spacing w:before="140" w:after="240" w:line="288" w:lineRule="auto"/>
        <w:ind w:left="0" w:right="0"/>
        <w:jc w:val="left"/>
      </w:pPr>
      <w:r>
        <w:rPr>
          <w:rFonts w:ascii="Arial" w:hAnsi="Arial" w:eastAsia="Arial" w:cs="Arial"/>
          <w:color w:val="000000"/>
          <w:sz w:val="20"/>
          <w:szCs w:val="20"/>
        </w:rPr>
        <w:t xml:space="preserve">Der Erstantragsteller verpflichtet sich, sämtliche mit der
Übertragung der unter Punkt … und … genannten Liegenschaftsanteile
verbundenen Kosten, Gebühren und Abgaben aller Art in seine
alleinige Zahlungsverpflichtung zu übernehmen und diesbezüglich die
Zweitantragstellerin schad- und klaglos zu halten.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Sonstige Vermögenswerte</w:t>
      </w:r>
    </w:p>
    <w:p>
      <w:pPr>
        <w:widowControl w:val="on"/>
        <w:pBdr/>
        <w:spacing w:before="140" w:after="240" w:line="288" w:lineRule="auto"/>
        <w:ind w:left="0" w:right="0"/>
        <w:jc w:val="left"/>
      </w:pPr>
      <w:r>
        <w:rPr>
          <w:rFonts w:ascii="Arial" w:hAnsi="Arial" w:eastAsia="Arial" w:cs="Arial"/>
          <w:color w:val="000000"/>
          <w:sz w:val="20"/>
          <w:szCs w:val="20"/>
        </w:rPr>
        <w:t xml:space="preserve">Die beiden Antragsteller haben gemeinsam bei der … zu Konto
Nummer … ein Darlehen in Höhe von EUR … sowie zu Kontonummer …
ein Darlehen in Höhe von EUR … aufgenommen. Vom erstgenannten
Darlehen haftet zum Stichtag … ein Betrag von EUR …, vom
zweitgenannten Darlehen haftet zum Stichtag … ein Betrag von
EUR … aus. Diese Darlehen sind aufgrund der Pfandurkunde vom …
sub C-LNR … der Liegenschaft EZ … Grundbuch … als Haupteinlage
sowie sub C-LNr … der Liegenschaft EZ … Grundbuch … als
Nebeneinlage einverleibt.</w:t>
      </w:r>
    </w:p>
    <w:p>
      <w:pPr>
        <w:widowControl w:val="on"/>
        <w:pBdr/>
        <w:spacing w:before="140" w:after="240" w:line="288" w:lineRule="auto"/>
        <w:ind w:left="0" w:right="0"/>
        <w:jc w:val="left"/>
      </w:pPr>
      <w:r>
        <w:rPr>
          <w:rFonts w:ascii="Arial" w:hAnsi="Arial" w:eastAsia="Arial" w:cs="Arial"/>
          <w:color w:val="000000"/>
          <w:sz w:val="20"/>
          <w:szCs w:val="20"/>
        </w:rPr>
        <w:t xml:space="preserve">Der Erstantragsteller verpflichtet sich, die Rückzahlung der
genannten Verbindlichkeiten in sein alleiniges Zahlungsversprechen
zu übernehmen und die Zweitantragstellerin für den Fall ihrer
Inanspruchnahme schad-, klag- und exekutionslos zu halten. Die
Parteien beantragen Beschlussfassung nach § 98 EheG, so dass
der Erstantragsteller Hauptschuldner und die Zweitantragstellerin
Ausfallsbürgin ist.</w:t>
      </w:r>
    </w:p>
    <w:p>
      <w:pPr>
        <w:widowControl w:val="on"/>
        <w:pBdr/>
        <w:spacing w:before="140" w:after="240" w:line="288" w:lineRule="auto"/>
        <w:ind w:left="0" w:right="0"/>
        <w:jc w:val="left"/>
      </w:pPr>
      <w:r>
        <w:rPr>
          <w:rFonts w:ascii="Arial" w:hAnsi="Arial" w:eastAsia="Arial" w:cs="Arial"/>
          <w:color w:val="000000"/>
          <w:sz w:val="20"/>
          <w:szCs w:val="20"/>
        </w:rPr>
        <w:t xml:space="preserve">Weitere Schulden sind nicht vorhanden.</w:t>
      </w:r>
    </w:p>
    <w:p>
      <w:pPr>
        <w:widowControl w:val="on"/>
        <w:pBdr/>
        <w:spacing w:before="140" w:after="240" w:line="288" w:lineRule="auto"/>
        <w:ind w:left="0" w:right="0"/>
        <w:jc w:val="left"/>
      </w:pPr>
      <w:r>
        <w:rPr>
          <w:rFonts w:ascii="Arial" w:hAnsi="Arial" w:eastAsia="Arial" w:cs="Arial"/>
          <w:color w:val="000000"/>
          <w:sz w:val="20"/>
          <w:szCs w:val="20"/>
        </w:rPr>
        <w:t xml:space="preserve">Der Erstantragsteller überträgt sein Eigentum am Pkw …,
behördliches Kennzeichen … (Fahrgestellnummer …) an die
Zweitantragstellerin. Der Erstantragsteller verpflichtet sich,
binnen 14 Tagen nach Rechtskraft des Scheidungsbeschlusses
obgenannten Pkw an die Zweitantragstellerin samt Schlüssel und
Typenschein zu übergeben. Er verpflichtet sich zudem, allfällig
weitere Erklärungen gegenüber der Zulassungsbehörde im Sinne dieser
Vereinbarung abzugeben. Die Zweitantragstellerin verpflichtet sich,
die Ummeldung des Fahrzeuges binnen 4 Wochen ab Übergabe der
Schlüssel sowie Dokumente vorzunehmen.</w:t>
      </w:r>
    </w:p>
    <w:p>
      <w:pPr>
        <w:widowControl w:val="on"/>
        <w:pBdr/>
        <w:spacing w:before="140" w:after="240" w:line="288" w:lineRule="auto"/>
        <w:ind w:left="0" w:right="0"/>
        <w:jc w:val="left"/>
      </w:pPr>
      <w:r>
        <w:rPr>
          <w:rFonts w:ascii="Arial" w:hAnsi="Arial" w:eastAsia="Arial" w:cs="Arial"/>
          <w:color w:val="000000"/>
          <w:sz w:val="20"/>
          <w:szCs w:val="20"/>
        </w:rPr>
        <w:t xml:space="preserve">Der Pkw …, behördliches Kennzeichen … (Fahrgestellnummer …)
verbleibt im Alleineigentum des Erstantragstellers.</w:t>
      </w:r>
    </w:p>
    <w:p>
      <w:pPr>
        <w:widowControl w:val="on"/>
        <w:pBdr/>
        <w:spacing w:before="140" w:after="240" w:line="288" w:lineRule="auto"/>
        <w:ind w:left="0" w:right="0"/>
        <w:jc w:val="left"/>
      </w:pPr>
      <w:r>
        <w:rPr>
          <w:rFonts w:ascii="Arial" w:hAnsi="Arial" w:eastAsia="Arial" w:cs="Arial"/>
          <w:color w:val="000000"/>
          <w:sz w:val="20"/>
          <w:szCs w:val="20"/>
        </w:rPr>
        <w:t xml:space="preserve">Es bestehen keine Lebensversicherungen.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Eheliches Gebrauchsvermögen</w:t>
      </w:r>
    </w:p>
    <w:p>
      <w:pPr>
        <w:widowControl w:val="on"/>
        <w:pBdr/>
        <w:spacing w:before="140" w:after="240" w:line="288" w:lineRule="auto"/>
        <w:ind w:left="0" w:right="0"/>
        <w:jc w:val="left"/>
      </w:pPr>
      <w:r>
        <w:rPr>
          <w:rFonts w:ascii="Arial" w:hAnsi="Arial" w:eastAsia="Arial" w:cs="Arial"/>
          <w:color w:val="000000"/>
          <w:sz w:val="20"/>
          <w:szCs w:val="20"/>
        </w:rPr>
        <w:t xml:space="preserve">Festgestellt wird, dass sonstige eheliche Ersparnisse oder
Schulden nicht bestehen. Das sonstige eheliche Gebrauchsvermögen
wurde bereits aufgeteilt.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Ausgleichszahlung</w:t>
      </w:r>
    </w:p>
    <w:p>
      <w:pPr>
        <w:widowControl w:val="on"/>
        <w:pBdr/>
        <w:spacing w:before="140" w:after="240" w:line="288" w:lineRule="auto"/>
        <w:ind w:left="0" w:right="0"/>
        <w:jc w:val="left"/>
      </w:pPr>
      <w:r>
        <w:rPr>
          <w:rFonts w:ascii="Arial" w:hAnsi="Arial" w:eastAsia="Arial" w:cs="Arial"/>
          <w:color w:val="000000"/>
          <w:sz w:val="20"/>
          <w:szCs w:val="20"/>
        </w:rPr>
        <w:t xml:space="preserve">Der Erstantragsteller verpflichtet sich, der
Zweitantragstellerin aus dem Titel der Aufteilung des ehelichen
Gebrauchsvermögens und der ehelichen Ersparnisse eine
Ausgleichszahlung im Betrag von EUR … zu bezahlen. Der
genannte Betrag ist binnen 4 Wochen nach Rechtskraft der Scheidung
an die Zweitantragstellerin auf deren Konto … bei der … (BLZ …) zu
bezahlen. Für den Fall der nicht fristgerechten Zahlung gelten
6 % Verzugszinsen als vereinbart.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Sonstiges</w:t>
      </w:r>
    </w:p>
    <w:p>
      <w:pPr>
        <w:widowControl w:val="on"/>
        <w:pBdr/>
        <w:spacing w:before="140" w:after="240" w:line="288" w:lineRule="auto"/>
        <w:ind w:left="0" w:right="0"/>
        <w:jc w:val="left"/>
      </w:pPr>
      <w:r>
        <w:rPr>
          <w:rFonts w:ascii="Arial" w:hAnsi="Arial" w:eastAsia="Arial" w:cs="Arial"/>
          <w:color w:val="000000"/>
          <w:sz w:val="20"/>
          <w:szCs w:val="20"/>
        </w:rPr>
        <w:t xml:space="preserve">Die Gerichtsgebühren werden von den beiden Antragstellern
jeweils zur Hälfte getragen, die Kosten der jeweiligen
Rechtsvertretung werden von beiden Antragstellern jeweils selbst
getragen.</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 erklären unwiderruflich, auf weitere Ansprüche
gegeneinander hinsichtlich des ehelichen Gebrauchsvermögens und der
ehelichen Ersparnisse (§§ 81 ff EheG) sowie hinsichtlich der
Abgeltung der Mitwirkung eines Ehegatten im Erwerb des anderen
(§ 98 ABGB), sofern solche bestehen, zu verzichten.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Erstantragsteller/in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Zweitantragsteller/in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Antrag auf Aufteilung des Vermögens muss innerhalb eines
Jahres nach der endgültigen Scheidung gestellt werden. Falls die
Frist nicht eingehalten wurde, besteht kein Aufteilungsanspruch
mehr.</w:t>
      </w:r>
    </w:p>
    <w:p>
      <w:pPr>
        <w:widowControl w:val="on"/>
        <w:pBdr/>
        <w:spacing w:before="140" w:after="240" w:line="288" w:lineRule="auto"/>
        <w:ind w:left="0" w:right="0"/>
        <w:jc w:val="left"/>
      </w:pPr>
      <w:r>
        <w:rPr>
          <w:rFonts w:ascii="Arial" w:hAnsi="Arial" w:eastAsia="Arial" w:cs="Arial"/>
          <w:color w:val="000000"/>
          <w:sz w:val="20"/>
          <w:szCs w:val="20"/>
        </w:rPr>
        <w:t xml:space="preserve">Als eheliches Gebrauchsvermögen werden sämtliche Güter
bezeichnet, die von beiden Ehepartnern gemeinsam genutzt werden und
während der aufrechten Ehe erworben wurden. Dazu gehört Hausrat wie
Geschirr, Besteck und Mobiliar, aber auch die Ehewohnung und
Haustiere.</w:t>
      </w:r>
    </w:p>
    <w:p>
      <w:pPr>
        <w:widowControl w:val="on"/>
        <w:pBdr/>
        <w:spacing w:before="140" w:after="240" w:line="288" w:lineRule="auto"/>
        <w:ind w:left="0" w:right="0"/>
        <w:jc w:val="left"/>
      </w:pPr>
      <w:r>
        <w:rPr>
          <w:rFonts w:ascii="Arial" w:hAnsi="Arial" w:eastAsia="Arial" w:cs="Arial"/>
          <w:color w:val="000000"/>
          <w:sz w:val="20"/>
          <w:szCs w:val="20"/>
        </w:rPr>
        <w:t xml:space="preserve">Viele Scheidungs(folgen)vereinbarungen unterliegen einer
Formpflicht und sind notariell zu beglaubigen. Wurde gegen eine
Formpflicht verstoßen, ist die Scheidungs(folgen)vereinbarung
nichtig.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05471">
    <w:multiLevelType w:val="hybridMultilevel"/>
    <w:lvl w:ilvl="0" w:tplc="88520729">
      <w:start w:val="1"/>
      <w:numFmt w:val="decimal"/>
      <w:lvlText w:val="%1."/>
      <w:lvlJc w:val="left"/>
      <w:pPr>
        <w:ind w:left="720" w:hanging="360"/>
      </w:pPr>
    </w:lvl>
    <w:lvl w:ilvl="1" w:tplc="88520729" w:tentative="1">
      <w:start w:val="1"/>
      <w:numFmt w:val="lowerLetter"/>
      <w:lvlText w:val="%2."/>
      <w:lvlJc w:val="left"/>
      <w:pPr>
        <w:ind w:left="1440" w:hanging="360"/>
      </w:pPr>
    </w:lvl>
    <w:lvl w:ilvl="2" w:tplc="88520729" w:tentative="1">
      <w:start w:val="1"/>
      <w:numFmt w:val="lowerRoman"/>
      <w:lvlText w:val="%3."/>
      <w:lvlJc w:val="right"/>
      <w:pPr>
        <w:ind w:left="2160" w:hanging="180"/>
      </w:pPr>
    </w:lvl>
    <w:lvl w:ilvl="3" w:tplc="88520729" w:tentative="1">
      <w:start w:val="1"/>
      <w:numFmt w:val="decimal"/>
      <w:lvlText w:val="%4."/>
      <w:lvlJc w:val="left"/>
      <w:pPr>
        <w:ind w:left="2880" w:hanging="360"/>
      </w:pPr>
    </w:lvl>
    <w:lvl w:ilvl="4" w:tplc="88520729" w:tentative="1">
      <w:start w:val="1"/>
      <w:numFmt w:val="lowerLetter"/>
      <w:lvlText w:val="%5."/>
      <w:lvlJc w:val="left"/>
      <w:pPr>
        <w:ind w:left="3600" w:hanging="360"/>
      </w:pPr>
    </w:lvl>
    <w:lvl w:ilvl="5" w:tplc="88520729" w:tentative="1">
      <w:start w:val="1"/>
      <w:numFmt w:val="lowerRoman"/>
      <w:lvlText w:val="%6."/>
      <w:lvlJc w:val="right"/>
      <w:pPr>
        <w:ind w:left="4320" w:hanging="180"/>
      </w:pPr>
    </w:lvl>
    <w:lvl w:ilvl="6" w:tplc="88520729" w:tentative="1">
      <w:start w:val="1"/>
      <w:numFmt w:val="decimal"/>
      <w:lvlText w:val="%7."/>
      <w:lvlJc w:val="left"/>
      <w:pPr>
        <w:ind w:left="5040" w:hanging="360"/>
      </w:pPr>
    </w:lvl>
    <w:lvl w:ilvl="7" w:tplc="88520729" w:tentative="1">
      <w:start w:val="1"/>
      <w:numFmt w:val="lowerLetter"/>
      <w:lvlText w:val="%8."/>
      <w:lvlJc w:val="left"/>
      <w:pPr>
        <w:ind w:left="5760" w:hanging="360"/>
      </w:pPr>
    </w:lvl>
    <w:lvl w:ilvl="8" w:tplc="88520729" w:tentative="1">
      <w:start w:val="1"/>
      <w:numFmt w:val="lowerRoman"/>
      <w:lvlText w:val="%9."/>
      <w:lvlJc w:val="right"/>
      <w:pPr>
        <w:ind w:left="6480" w:hanging="180"/>
      </w:pPr>
    </w:lvl>
  </w:abstractNum>
  <w:abstractNum w:abstractNumId="17405470">
    <w:multiLevelType w:val="hybridMultilevel"/>
    <w:lvl w:ilvl="0" w:tplc="712116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05470">
    <w:abstractNumId w:val="17405470"/>
  </w:num>
  <w:num w:numId="17405471">
    <w:abstractNumId w:val="174054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73047218" Type="http://schemas.openxmlformats.org/officeDocument/2006/relationships/numbering" Target="numbering.xml"/><Relationship Id="rId29500772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