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4338508" w:name="document"/>
    <w:bookmarkEnd w:id="24338508"/>
    <w:p/>
    <w:p>
      <w:pPr>
        <w:widowControl w:val="on"/>
        <w:pBdr/>
        <w:spacing w:before="0" w:after="280" w:line="240" w:lineRule="auto"/>
        <w:ind w:left="0" w:right="0"/>
        <w:jc w:val="left"/>
      </w:pPr>
      <w:r>
        <w:rPr>
          <w:rFonts w:ascii="Arial" w:hAnsi="Arial" w:eastAsia="Arial" w:cs="Arial"/>
          <w:color w:val="363A40"/>
          <w:sz w:val="24"/>
          <w:szCs w:val="24"/>
        </w:rPr>
        <w:t xml:space="preserve">Dokument-ID: 1044658 | Raphael Albert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Festsetzung: Nichtfestsetzung gem § 17 Abs 1 Z 2 GrEStG</w:t>
      </w:r>
    </w:p>
    <w:p>
      <w:pPr>
        <w:widowControl w:val="on"/>
        <w:pBdr/>
        <w:spacing w:before="140" w:after="240" w:line="288" w:lineRule="auto"/>
        <w:ind w:left="0" w:right="0"/>
        <w:jc w:val="left"/>
      </w:pPr>
      <w:r>
        <w:rPr>
          <w:rFonts w:ascii="Arial" w:hAnsi="Arial" w:eastAsia="Arial" w:cs="Arial"/>
          <w:b/>
          <w:bCs/>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Finanzamt Österreich … </w:t>
      </w:r>
      <w:r>
        <w:rPr>
          <w:rFonts w:ascii="Arial" w:hAnsi="Arial" w:eastAsia="Arial" w:cs="Arial"/>
          <w:color w:val="000000"/>
          <w:sz w:val="20"/>
          <w:szCs w:val="20"/>
        </w:rPr>
        <w:t xml:space="preserve">[Ort]</w:t>
      </w:r>
      <w:bookmarkStart w:id="12962684" w:name="link1"/>
      <w:bookmarkEnd w:id="12962684"/>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br/>
        <w:t xml:space="preserve">… [Adresse]</w:t>
      </w:r>
    </w:p>
    <w:p>
      <w:pPr>
        <w:widowControl w:val="on"/>
        <w:pBdr/>
        <w:spacing w:before="140" w:after="240" w:line="288" w:lineRule="auto"/>
        <w:ind w:left="0" w:right="0"/>
        <w:jc w:val="right"/>
      </w:pPr>
      <w:r>
        <w:rPr>
          <w:rFonts w:ascii="Arial" w:hAnsi="Arial" w:eastAsia="Arial" w:cs="Arial"/>
          <w:color w:val="000000"/>
          <w:sz w:val="20"/>
          <w:szCs w:val="20"/>
        </w:rPr>
        <w:t xml:space="preserve">… [Ort], am … [Datum]</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Steuernummer: … [Steuernummer des Antragstellers], … [Name und
Anschrift des Antragstellers]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[bei bescheidmäßiger Festsetzung:] Bescheid vom … [Datum des
Festsetzungsbescheides]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Antrag auf Nichtfestsetzung der Grunderwerbsteuer gem § 17
Abs 1 Z 2 </w:t>
      </w:r>
      <w:r>
        <w:rPr>
          <w:rFonts w:ascii="Arial" w:hAnsi="Arial" w:eastAsia="Arial" w:cs="Arial"/>
          <w:b/>
          <w:bCs/>
          <w:color w:val="363A40"/>
          <w:sz w:val="28"/>
          <w:szCs w:val="28"/>
        </w:rPr>
        <w:t xml:space="preserve">GrEStG</w:t>
      </w:r>
      <w:bookmarkStart w:id="38664788" w:name="link2"/>
      <w:bookmarkEnd w:id="38664788"/>
      <w:hyperlink w:anchor="note2" w:history="1">
        <w:r>
          <w:rPr>
            <w:rFonts w:ascii="Arial" w:hAnsi="Arial" w:eastAsia="Arial" w:cs="Arial"/>
            <w:b/>
            <w:bCs/>
            <w:color w:val="006BB6"/>
            <w:position w:val="6"/>
            <w:sz w:val="31"/>
            <w:szCs w:val="31"/>
            <w:vertAlign w:val="superscript"/>
          </w:rPr>
          <w:t xml:space="preserve">2</w:t>
        </w:r>
      </w:hyperlink>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im Auftrag und mit Vollmacht des eingangs benannten
Abgabepflichtigen stellen wir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w:t>
      </w:r>
      <w:r>
        <w:rPr>
          <w:rFonts w:ascii="Arial" w:hAnsi="Arial" w:eastAsia="Arial" w:cs="Arial"/>
          <w:color w:val="000000"/>
          <w:sz w:val="20"/>
          <w:szCs w:val="20"/>
        </w:rPr>
        <w:t xml:space="preserve">Nichtfestsetzung</w:t>
      </w:r>
      <w:bookmarkStart w:id="68503898" w:name="link3"/>
      <w:bookmarkEnd w:id="68503898"/>
      <w:hyperlink w:anchor="note3" w:history="1">
        <w:r>
          <w:rPr>
            <w:rFonts w:ascii="Arial" w:hAnsi="Arial" w:eastAsia="Arial" w:cs="Arial"/>
            <w:b/>
            <w:bCs/>
            <w:color w:val="006BB6"/>
            <w:position w:val="4"/>
            <w:sz w:val="22"/>
            <w:szCs w:val="22"/>
            <w:vertAlign w:val="superscript"/>
          </w:rPr>
          <w:t xml:space="preserve">3</w:t>
        </w:r>
      </w:hyperlink>
      <w:r>
        <w:rPr>
          <w:rFonts w:ascii="Arial" w:hAnsi="Arial" w:eastAsia="Arial" w:cs="Arial"/>
          <w:color w:val="000000"/>
          <w:sz w:val="20"/>
          <w:szCs w:val="20"/>
        </w:rPr>
        <w:t xml:space="preserve"> der
[bei bescheidmäßiger Festsetzung:] mit Bescheid vom … [Datum des
Festsetzungsbescheides] festgesetzten Grunderwerbsteuer und
Gutschrift der bereits entrichteten Grunderwerbsteuer. Zur
Begründung des Antrags verweisen wir auf nachstehende
Ausführungen:</w:t>
      </w:r>
    </w:p>
    <w:p>
      <w:pPr>
        <w:widowControl w:val="on"/>
        <w:pBdr/>
        <w:spacing w:before="140" w:after="240" w:line="288" w:lineRule="auto"/>
        <w:ind w:left="0" w:right="0"/>
        <w:jc w:val="left"/>
      </w:pPr>
      <w:r>
        <w:rPr>
          <w:rFonts w:ascii="Arial" w:hAnsi="Arial" w:eastAsia="Arial" w:cs="Arial"/>
          <w:color w:val="000000"/>
          <w:sz w:val="20"/>
          <w:szCs w:val="20"/>
        </w:rPr>
        <w:t xml:space="preserve">Der Abgabepflichtige hat das antragsgegenständliche Grundstück
in … [Ort], KG … [Katastralgemeinde], EZ … [Einlagenzahl] mit
Kaufvertrag vom … [Datum des </w:t>
      </w:r>
      <w:r>
        <w:rPr>
          <w:rFonts w:ascii="Arial" w:hAnsi="Arial" w:eastAsia="Arial" w:cs="Arial"/>
          <w:color w:val="000000"/>
          <w:sz w:val="20"/>
          <w:szCs w:val="20"/>
        </w:rPr>
        <w:t xml:space="preserve">Kaufvertrags]</w:t>
      </w:r>
      <w:bookmarkStart w:id="61309555" w:name="link4"/>
      <w:bookmarkEnd w:id="61309555"/>
      <w:hyperlink w:anchor="note4" w:history="1">
        <w:r>
          <w:rPr>
            <w:rFonts w:ascii="Arial" w:hAnsi="Arial" w:eastAsia="Arial" w:cs="Arial"/>
            <w:b/>
            <w:bCs/>
            <w:color w:val="006BB6"/>
            <w:position w:val="4"/>
            <w:sz w:val="22"/>
            <w:szCs w:val="22"/>
            <w:vertAlign w:val="superscript"/>
          </w:rPr>
          <w:t xml:space="preserve">4</w:t>
        </w:r>
      </w:hyperlink>
      <w:r>
        <w:rPr>
          <w:rFonts w:ascii="Arial" w:hAnsi="Arial" w:eastAsia="Arial" w:cs="Arial"/>
          <w:color w:val="000000"/>
          <w:sz w:val="20"/>
          <w:szCs w:val="20"/>
        </w:rPr>
        <w:t xml:space="preserve"> erworben. Die auf den
Erwerbsvorgang entfallende Grunderwerbsteuer wurde im Wege der
Selbstberechnung ermittelt und am … [Datum der Entrichtung]
entrichtet.</w:t>
      </w:r>
    </w:p>
    <w:p>
      <w:pPr>
        <w:widowControl w:val="on"/>
        <w:pBdr/>
        <w:spacing w:before="140" w:after="240" w:line="288" w:lineRule="auto"/>
        <w:ind w:left="0" w:right="0"/>
        <w:jc w:val="left"/>
      </w:pPr>
      <w:r>
        <w:rPr>
          <w:rFonts w:ascii="Arial" w:hAnsi="Arial" w:eastAsia="Arial" w:cs="Arial"/>
          <w:color w:val="000000"/>
          <w:sz w:val="20"/>
          <w:szCs w:val="20"/>
        </w:rPr>
        <w:t xml:space="preserve">Der Erwerbsvorgang wurde dem zuständigen Finanzamt Österreich am
… [Datum der Anzeige] angezeigt.</w:t>
      </w:r>
    </w:p>
    <w:p>
      <w:pPr>
        <w:widowControl w:val="on"/>
        <w:pBdr/>
        <w:spacing w:before="140" w:after="240" w:line="288" w:lineRule="auto"/>
        <w:ind w:left="0" w:right="0"/>
        <w:jc w:val="left"/>
      </w:pPr>
      <w:r>
        <w:rPr>
          <w:rFonts w:ascii="Arial" w:hAnsi="Arial" w:eastAsia="Arial" w:cs="Arial"/>
          <w:color w:val="000000"/>
          <w:sz w:val="20"/>
          <w:szCs w:val="20"/>
        </w:rPr>
        <w:t xml:space="preserve">Am … [Datum der </w:t>
      </w:r>
      <w:r>
        <w:rPr>
          <w:rFonts w:ascii="Arial" w:hAnsi="Arial" w:eastAsia="Arial" w:cs="Arial"/>
          <w:color w:val="000000"/>
          <w:sz w:val="20"/>
          <w:szCs w:val="20"/>
        </w:rPr>
        <w:t xml:space="preserve">Vertragsauflösung]</w:t>
      </w:r>
      <w:bookmarkStart w:id="37730484" w:name="link4"/>
      <w:bookmarkEnd w:id="37730484"/>
      <w:hyperlink w:anchor="note4" w:history="1">
        <w:r>
          <w:rPr>
            <w:rFonts w:ascii="Arial" w:hAnsi="Arial" w:eastAsia="Arial" w:cs="Arial"/>
            <w:b/>
            <w:bCs/>
            <w:color w:val="006BB6"/>
            <w:position w:val="4"/>
            <w:sz w:val="22"/>
            <w:szCs w:val="22"/>
            <w:vertAlign w:val="superscript"/>
          </w:rPr>
          <w:t xml:space="preserve">4</w:t>
        </w:r>
      </w:hyperlink>
      <w:r>
        <w:rPr>
          <w:rFonts w:ascii="Arial" w:hAnsi="Arial" w:eastAsia="Arial" w:cs="Arial"/>
          <w:color w:val="000000"/>
          <w:sz w:val="20"/>
          <w:szCs w:val="20"/>
        </w:rPr>
        <w:t xml:space="preserve"> wurde der dem
Erwerbsvorgang zugrunde liegende Kaufvertrag vom … [Datum des
Kaufvertrags] wegen der Nichterfüllung wesentlicher
Vertragsbedingungen wieder aufgelöst. Konkret hat der …
[verstoßende Vertragspartei] den Kaufvertrag vom … [Datum des
Kaufvertrags] verletzt, indem … [Beschreibung des vertragswidrigen
</w:t>
      </w:r>
      <w:r>
        <w:rPr>
          <w:rFonts w:ascii="Arial" w:hAnsi="Arial" w:eastAsia="Arial" w:cs="Arial"/>
          <w:color w:val="000000"/>
          <w:sz w:val="20"/>
          <w:szCs w:val="20"/>
        </w:rPr>
        <w:t xml:space="preserve">Verhaltens]</w:t>
      </w:r>
      <w:bookmarkStart w:id="54089405" w:name="link5"/>
      <w:bookmarkEnd w:id="54089405"/>
      <w:hyperlink w:anchor="note5" w:history="1">
        <w:r>
          <w:rPr>
            <w:rFonts w:ascii="Arial" w:hAnsi="Arial" w:eastAsia="Arial" w:cs="Arial"/>
            <w:b/>
            <w:bCs/>
            <w:color w:val="006BB6"/>
            <w:position w:val="4"/>
            <w:sz w:val="22"/>
            <w:szCs w:val="22"/>
            <w:vertAlign w:val="superscript"/>
          </w:rPr>
          <w:t xml:space="preserve">5</w:t>
        </w:r>
      </w:hyperlink>
      <w:r>
        <w:rPr>
          <w:rFonts w:ascii="Arial" w:hAnsi="Arial" w:eastAsia="Arial" w:cs="Arial"/>
          <w:color w:val="000000"/>
          <w:sz w:val="20"/>
          <w:szCs w:val="20"/>
        </w:rPr>
        <w:t xml:space="preserve">.</w:t>
      </w:r>
    </w:p>
    <w:p>
      <w:pPr>
        <w:widowControl w:val="on"/>
        <w:pBdr/>
        <w:spacing w:before="0" w:after="105" w:line="288" w:lineRule="auto"/>
        <w:ind w:left="0" w:right="0"/>
        <w:jc w:val="left"/>
      </w:pPr>
      <w:r>
        <w:rPr>
          <w:rFonts w:ascii="Arial" w:hAnsi="Arial" w:eastAsia="Arial" w:cs="Arial"/>
          <w:b/>
          <w:bCs/>
          <w:color w:val="277DB9"/>
          <w:sz w:val="25"/>
          <w:szCs w:val="25"/>
        </w:rPr>
        <w:t xml:space="preserve">Beispiel:</w:t>
      </w:r>
    </w:p>
    <w:p>
      <w:pPr>
        <w:widowControl w:val="on"/>
        <w:pBdr/>
        <w:spacing w:before="140" w:after="240" w:line="288" w:lineRule="auto"/>
        <w:ind w:left="0" w:right="0"/>
        <w:jc w:val="left"/>
      </w:pPr>
      <w:r>
        <w:rPr>
          <w:rFonts w:ascii="Arial" w:hAnsi="Arial" w:eastAsia="Arial" w:cs="Arial"/>
          <w:color w:val="277DB9"/>
          <w:sz w:val="20"/>
          <w:szCs w:val="20"/>
        </w:rPr>
        <w:t xml:space="preserve">Am 31.10.2024 wurde der dem Erwerbsvorgang zugrunde liegende
Kaufvertrag vom 27.04.2024 wegen der Nichterfüllung wesentlicher
Vertragsbedingungen wieder aufgelöst. Konkret hat der Erwerber den
Kaufvertrag vom 27.04.2024 verletzt, indem er den vereinbarten
Kaufpreis nicht wie unter Punkt 4.3 des Vertrages vereinbart bis
zum 27.10.2024 vollständig an den Veräußerer geleistet hat.</w:t>
      </w:r>
    </w:p>
    <w:p>
      <w:pPr>
        <w:widowControl w:val="on"/>
        <w:pBdr/>
        <w:spacing w:before="140" w:after="240" w:line="288" w:lineRule="auto"/>
        <w:ind w:left="0" w:right="0"/>
        <w:jc w:val="left"/>
      </w:pPr>
      <w:r>
        <w:rPr>
          <w:rFonts w:ascii="Arial" w:hAnsi="Arial" w:eastAsia="Arial" w:cs="Arial"/>
          <w:color w:val="000000"/>
          <w:sz w:val="20"/>
          <w:szCs w:val="20"/>
        </w:rPr>
        <w:t xml:space="preserve">Mit der Bitte um antragsgemäße Erledigung,</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140" w:after="240" w:line="288" w:lineRule="auto"/>
        <w:ind w:left="0" w:right="0"/>
        <w:jc w:val="left"/>
      </w:pPr>
      <w:r>
        <w:rPr>
          <w:rFonts w:ascii="Arial" w:hAnsi="Arial" w:eastAsia="Arial" w:cs="Arial"/>
          <w:b/>
          <w:bCs/>
          <w:color w:val="000000"/>
          <w:sz w:val="20"/>
          <w:szCs w:val="20"/>
        </w:rPr>
        <w:t xml:space="preserve">Beilagen:</w:t>
      </w:r>
    </w:p>
    <w:p>
      <w:pPr>
        <w:numPr>
          <w:ilvl w:val="0"/>
          <w:numId w:val="652501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 </w:t>
      </w:r>
      <w:r>
        <w:rPr>
          <w:rFonts w:ascii="Arial" w:hAnsi="Arial" w:eastAsia="Arial" w:cs="Arial"/>
          <w:color w:val="000000"/>
          <w:sz w:val="20"/>
          <w:szCs w:val="20"/>
        </w:rPr>
        <w:t xml:space="preserve">[Belege]</w:t>
      </w:r>
      <w:bookmarkStart w:id="99913681" w:name="link6"/>
      <w:bookmarkEnd w:id="99913681"/>
      <w:hyperlink w:anchor="note6" w:history="1">
        <w:r>
          <w:rPr>
            <w:rFonts w:ascii="Arial" w:hAnsi="Arial" w:eastAsia="Arial" w:cs="Arial"/>
            <w:b/>
            <w:bCs/>
            <w:color w:val="006BB6"/>
            <w:position w:val="4"/>
            <w:sz w:val="22"/>
            <w:szCs w:val="22"/>
            <w:vertAlign w:val="superscript"/>
          </w:rPr>
          <w:t xml:space="preserve">6</w:t>
        </w:r>
      </w:hyperlink>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3481441" w:name="note1"/>
            <w:bookmarkEnd w:id="23481441"/>
            <w:bookmarkStart w:id="1852873246164" w:name="note1"/>
            <w:r>
              <w:rPr>
                <w:rFonts w:ascii="Arial" w:hAnsi="Arial" w:eastAsia="Arial" w:cs="Arial"/>
                <w:b/>
                <w:bCs/>
                <w:color w:val="000000"/>
                <w:position w:val="0"/>
                <w:sz w:val="20"/>
                <w:szCs w:val="20"/>
              </w:rPr>
              <w:t xml:space="preserve">[1]</w:t>
            </w:r>
            <w:bookmarkEnd w:id="185287324616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muss beim Finanzamt Österreich eingebracht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17 GrEStG stellt eine Ausnahme von dem für die
Verkehrsteuern geltenden Grundsatz dar, wonach die einmal
entstandene Steuerpflicht durch nachträgliche Ereignisse nicht
wieder beseitigt werden soll. Bei den Ansprüchen aus § 17
GrEStG auf Nichtfestsetzung der Steuer oder Abänderung der
Steuerfestsetzung handelt es sich um selbstständige (gegenläufige)
Ansprüche aus dem Steuerschuldverhältnis, die den ursprünglichen
Steueranspruch unberührt lassen. Zweck der Bestimmung ist es,
Vorgänge nicht mit Steuer zu belasten, deren wirtschaftliche
Auswirkungen von den Beteiligten innerhalb der im Gesetz gesetzten
Frist wieder beseitigt werden. Das Gesetz lässt die Festsetzung der
Abänderung der Steuer nur in den in § 17 Abs 1 bis 3
GrEStG ausdrücklich umschriebenen Fällen zu. Bei der rechtlichen
Beurteilung, ob das Tatbestandsmerkmal einer Rückgängigmachung des
Erwerbsvorganges im Sinne der in Rede stehenden Bestimmung
vorliegt, kommt es nur darauf an, dass der Verkäufer jene
Verfügungsmacht über das Grundstück, die er vor Vertragsabschluss
inne gehabt hat, durch einen der im § 17 Abs 1 GrEStG
genannten Vorgänge wiedererlangt (VwGH Ra 2024/16/0035).</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8101352" w:name="note2"/>
            <w:bookmarkEnd w:id="48101352"/>
            <w:bookmarkStart w:id="5991042259802" w:name="note2"/>
            <w:r>
              <w:rPr>
                <w:rFonts w:ascii="Arial" w:hAnsi="Arial" w:eastAsia="Arial" w:cs="Arial"/>
                <w:b/>
                <w:bCs/>
                <w:color w:val="000000"/>
                <w:position w:val="0"/>
                <w:sz w:val="20"/>
                <w:szCs w:val="20"/>
              </w:rPr>
              <w:t xml:space="preserve">[2]</w:t>
            </w:r>
            <w:bookmarkEnd w:id="599104225980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nachträgliche Nichtfestsetzung der Grunderwerbsteuer ist
unter anderem dann möglich, wenn das der Grundstücksübertragung
zugrunde liegende Verpflichtungsgeschäft (Kauf-, Tausch- oder
Schenkungsvertrag) rückgängig gemacht wird, weil die
Vertragsbestimmungen von einer der Vertragsparteien nicht
eingehalten wurden. Das Verpflichtungsgeschäft muss tatsächlich
rückgängig gemacht werden. Eine bloße Möglichkeit zur
Rückgängigmachung reicht zur Rechtfertigung eines Antrages auf
Nichtfestsetzung der Grunderwerbsteuer nicht aus (vgl VwGH
9.8.2001, 2000/16/0085).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Dabei ist nicht notwendig, dass die Rückgängigmachung zwischen
den ursprünglichen Vertragsparteien stattfindet (zB bei
Rückgängigmachung durch die Erben des Veräußerers, vgl VwGH
26.5.2011, 2011/16/0001).</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7028624" w:name="note3"/>
            <w:bookmarkEnd w:id="87028624"/>
            <w:bookmarkStart w:id="6986646517694" w:name="note3"/>
            <w:r>
              <w:rPr>
                <w:rFonts w:ascii="Arial" w:hAnsi="Arial" w:eastAsia="Arial" w:cs="Arial"/>
                <w:b/>
                <w:bCs/>
                <w:color w:val="000000"/>
                <w:position w:val="0"/>
                <w:sz w:val="20"/>
                <w:szCs w:val="20"/>
              </w:rPr>
              <w:t xml:space="preserve">[3]</w:t>
            </w:r>
            <w:bookmarkEnd w:id="698664651769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Anspruch auf Rückerstattung der Steuer entsteht nicht schon
mit der rechtlichen Möglichkeit, die Auflösung der Verträge zu
verlangen, sondern erst mit der tatsächlichen Rückgängigmachung der
Verträge (Ra 2024/16/0035).</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0031430" w:name="note4"/>
            <w:bookmarkEnd w:id="90031430"/>
            <w:bookmarkStart w:id="9937858167765" w:name="note4"/>
            <w:r>
              <w:rPr>
                <w:rFonts w:ascii="Arial" w:hAnsi="Arial" w:eastAsia="Arial" w:cs="Arial"/>
                <w:b/>
                <w:bCs/>
                <w:color w:val="000000"/>
                <w:position w:val="0"/>
                <w:sz w:val="20"/>
                <w:szCs w:val="20"/>
              </w:rPr>
              <w:t xml:space="preserve">[4]</w:t>
            </w:r>
            <w:bookmarkEnd w:id="993785816776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auf Nichtfestsetzung kann innerhalb von fünf
Kalenderjahren gestellt werden. Diese Frist beginnt am Ende des
Jahres, in dem der Anlass für die Nichtfestsetzung eingetreten ist,
zu laufen.</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2038950" w:name="note5"/>
            <w:bookmarkEnd w:id="12038950"/>
            <w:bookmarkStart w:id="9905493265908" w:name="note5"/>
            <w:r>
              <w:rPr>
                <w:rFonts w:ascii="Arial" w:hAnsi="Arial" w:eastAsia="Arial" w:cs="Arial"/>
                <w:b/>
                <w:bCs/>
                <w:color w:val="000000"/>
                <w:position w:val="0"/>
                <w:sz w:val="20"/>
                <w:szCs w:val="20"/>
              </w:rPr>
              <w:t xml:space="preserve">[5]</w:t>
            </w:r>
            <w:bookmarkEnd w:id="990549326590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wesentliche Vertragsbestimmung ist bspw dann verletzt, wenn
der Erwerber den vereinbarten Kaufpreis nicht entrichtet.</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8819981" w:name="note6"/>
            <w:bookmarkEnd w:id="88819981"/>
            <w:bookmarkStart w:id="9820216897599" w:name="note6"/>
            <w:r>
              <w:rPr>
                <w:rFonts w:ascii="Arial" w:hAnsi="Arial" w:eastAsia="Arial" w:cs="Arial"/>
                <w:b/>
                <w:bCs/>
                <w:color w:val="000000"/>
                <w:position w:val="0"/>
                <w:sz w:val="20"/>
                <w:szCs w:val="20"/>
              </w:rPr>
              <w:t xml:space="preserve">[6]</w:t>
            </w:r>
            <w:bookmarkEnd w:id="982021689759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17 GrEStG verfügt die grundsätzliche Steuerfreiheit
rückgängig gemachter Erwerbsvorgänge. Er gilt für fehlgeschlagene
Erwerbsvorgänge, die wieder rückgängig gemacht werden, und er
stellt eine Begünstigungsvorschrift dar (</w:t>
            </w:r>
            <w:r>
              <w:rPr>
                <w:rFonts w:ascii="Arial" w:hAnsi="Arial" w:eastAsia="Arial" w:cs="Arial"/>
                <w:i/>
                <w:iCs/>
                <w:color w:val="000000"/>
                <w:position w:val="0"/>
                <w:sz w:val="20"/>
                <w:szCs w:val="20"/>
              </w:rPr>
              <w:t xml:space="preserve">Fellner</w:t>
            </w:r>
            <w:r>
              <w:rPr>
                <w:rFonts w:ascii="Arial" w:hAnsi="Arial" w:eastAsia="Arial" w:cs="Arial"/>
                <w:color w:val="000000"/>
                <w:position w:val="0"/>
                <w:sz w:val="20"/>
                <w:szCs w:val="20"/>
              </w:rPr>
              <w:t xml:space="preserve">,
Grunderwerbsteuergesetz 1987 § 17 Rz 1 Rz 6). Tritt
die in einem Grundstücksschenkungsvertrag vereinbarte auflösende
Bedingung dann tatsächlich ein, ist diese – mangels Verwirklichung
des Spezialtatbestandes „Rückgängigmachung eines Erwerbsvorganges“
– einer Maßnahme nach § 17 GrEStG nicht zugänglich, sondern es
kommt der „allgemeine“ Korrekturmechanismus des § 5 Abs 2
BewG zum Tragen. Dass ein Anlass für die Nichtfestsetzung
eingetreten ist, muss durch geeignete Nachweise belegt werden (vgl
VwGH 26.1.2006, 2005/16/0261).</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9456130" w:name="note7"/>
            <w:bookmarkEnd w:id="89456130"/>
            <w:bookmarkStart w:id="1811838874" w:name="note7"/>
            <w:r>
              <w:rPr>
                <w:rFonts w:ascii="Arial" w:hAnsi="Arial" w:eastAsia="Arial" w:cs="Arial"/>
                <w:b/>
                <w:bCs/>
                <w:color w:val="000000"/>
                <w:position w:val="0"/>
                <w:sz w:val="20"/>
                <w:szCs w:val="20"/>
              </w:rPr>
              <w:t xml:space="preserve">[7]</w:t>
            </w:r>
            <w:bookmarkEnd w:id="181183887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Dem Wortlaut des § 17 Abs 1 Z 2 GrEStG ist nicht
zu entnehmen, dass die Rückgängigmachung des Erwerbsvorganges
zwischen dem seinerzeitigen Veräußerer und dem seinerzeitigen
Erwerber erfolgen müsste. Lediglich der Wortlaut der weiteren
Befreiungsbestimmung des § 17 Abs 2 GrEStG, die aber nur
dann von Bedeutung wäre, wenn es um die Besteuerung eines weiteren
zur Rückgängigmachung notwendigen Erwerbsvorganges ginge, setzt
voraus, dass der zur Durchführung einer Rückgängigmachung
erforderliche Rechtsvorgang zwischen dem seinerzeitigen Veräußerer
und dem seinerzeitigen Erwerber erfolgt (VwGH 2011/16/0001).</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5015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6066037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1115478">
    <w:multiLevelType w:val="hybridMultilevel"/>
    <w:lvl w:ilvl="0" w:tplc="68183571">
      <w:start w:val="1"/>
      <w:numFmt w:val="decimal"/>
      <w:lvlText w:val="%1."/>
      <w:lvlJc w:val="left"/>
      <w:pPr>
        <w:ind w:left="720" w:hanging="360"/>
      </w:pPr>
    </w:lvl>
    <w:lvl w:ilvl="1" w:tplc="68183571" w:tentative="1">
      <w:start w:val="1"/>
      <w:numFmt w:val="lowerLetter"/>
      <w:lvlText w:val="%2."/>
      <w:lvlJc w:val="left"/>
      <w:pPr>
        <w:ind w:left="1440" w:hanging="360"/>
      </w:pPr>
    </w:lvl>
    <w:lvl w:ilvl="2" w:tplc="68183571" w:tentative="1">
      <w:start w:val="1"/>
      <w:numFmt w:val="lowerRoman"/>
      <w:lvlText w:val="%3."/>
      <w:lvlJc w:val="right"/>
      <w:pPr>
        <w:ind w:left="2160" w:hanging="180"/>
      </w:pPr>
    </w:lvl>
    <w:lvl w:ilvl="3" w:tplc="68183571" w:tentative="1">
      <w:start w:val="1"/>
      <w:numFmt w:val="decimal"/>
      <w:lvlText w:val="%4."/>
      <w:lvlJc w:val="left"/>
      <w:pPr>
        <w:ind w:left="2880" w:hanging="360"/>
      </w:pPr>
    </w:lvl>
    <w:lvl w:ilvl="4" w:tplc="68183571" w:tentative="1">
      <w:start w:val="1"/>
      <w:numFmt w:val="lowerLetter"/>
      <w:lvlText w:val="%5."/>
      <w:lvlJc w:val="left"/>
      <w:pPr>
        <w:ind w:left="3600" w:hanging="360"/>
      </w:pPr>
    </w:lvl>
    <w:lvl w:ilvl="5" w:tplc="68183571" w:tentative="1">
      <w:start w:val="1"/>
      <w:numFmt w:val="lowerRoman"/>
      <w:lvlText w:val="%6."/>
      <w:lvlJc w:val="right"/>
      <w:pPr>
        <w:ind w:left="4320" w:hanging="180"/>
      </w:pPr>
    </w:lvl>
    <w:lvl w:ilvl="6" w:tplc="68183571" w:tentative="1">
      <w:start w:val="1"/>
      <w:numFmt w:val="decimal"/>
      <w:lvlText w:val="%7."/>
      <w:lvlJc w:val="left"/>
      <w:pPr>
        <w:ind w:left="5040" w:hanging="360"/>
      </w:pPr>
    </w:lvl>
    <w:lvl w:ilvl="7" w:tplc="68183571" w:tentative="1">
      <w:start w:val="1"/>
      <w:numFmt w:val="lowerLetter"/>
      <w:lvlText w:val="%8."/>
      <w:lvlJc w:val="left"/>
      <w:pPr>
        <w:ind w:left="5760" w:hanging="360"/>
      </w:pPr>
    </w:lvl>
    <w:lvl w:ilvl="8" w:tplc="68183571" w:tentative="1">
      <w:start w:val="1"/>
      <w:numFmt w:val="lowerRoman"/>
      <w:lvlText w:val="%9."/>
      <w:lvlJc w:val="right"/>
      <w:pPr>
        <w:ind w:left="6480" w:hanging="180"/>
      </w:pPr>
    </w:lvl>
  </w:abstractNum>
  <w:abstractNum w:abstractNumId="11115477">
    <w:multiLevelType w:val="hybridMultilevel"/>
    <w:lvl w:ilvl="0" w:tplc="84489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15477">
    <w:abstractNumId w:val="11115477"/>
  </w:num>
  <w:num w:numId="11115478">
    <w:abstractNumId w:val="11115478"/>
  </w:num>
  <w:num w:numId="860660377">
    <w:abstractNumId w:val="860660377"/>
  </w:num>
  <w:num w:numId="65250158">
    <w:abstractNumId w:val="652501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95113867" Type="http://schemas.openxmlformats.org/officeDocument/2006/relationships/numbering" Target="numbering.xml"/><Relationship Id="rId75971292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