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6209439" w:name="document"/>
    <w:bookmarkEnd w:id="86209439"/>
    <w:p/>
    <w:p>
      <w:pPr>
        <w:widowControl w:val="on"/>
        <w:pBdr/>
        <w:spacing w:before="0" w:after="280" w:line="240" w:lineRule="auto"/>
        <w:ind w:left="0" w:right="0"/>
        <w:jc w:val="left"/>
      </w:pPr>
      <w:r>
        <w:rPr>
          <w:rFonts w:ascii="Arial" w:hAnsi="Arial" w:eastAsia="Arial" w:cs="Arial"/>
          <w:color w:val="363A40"/>
          <w:sz w:val="24"/>
          <w:szCs w:val="24"/>
        </w:rPr>
        <w:t xml:space="preserve">Dokument-ID: 1084887 | FORUM Media (red)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Scheidungs(folgen)vereinbarung mit Ehegattenunterhaltsverzicht,
gemeinsame Obsorge, Übertragung Liegenschaftsanteile</w:t>
      </w:r>
    </w:p>
    <w:p>
      <w:pPr>
        <w:widowControl w:val="on"/>
        <w:pBdr/>
        <w:spacing w:before="140" w:after="240" w:line="288" w:lineRule="auto"/>
        <w:ind w:left="0" w:right="0"/>
        <w:jc w:val="left"/>
      </w:pPr>
      <w:r>
        <w:rPr>
          <w:rFonts w:ascii="Arial" w:hAnsi="Arial" w:eastAsia="Arial" w:cs="Arial"/>
          <w:color w:val="000000"/>
          <w:sz w:val="20"/>
          <w:szCs w:val="20"/>
        </w:rPr>
        <w:t xml:space="preserve">Vereinbarung gem § 55a Abs 2 EheG</w:t>
      </w:r>
    </w:p>
    <w:p>
      <w:pPr>
        <w:widowControl w:val="on"/>
        <w:pBdr/>
        <w:spacing w:before="140" w:after="240" w:line="288" w:lineRule="auto"/>
        <w:ind w:left="0" w:right="0"/>
        <w:jc w:val="left"/>
      </w:pPr>
      <w:r>
        <w:rPr>
          <w:rFonts w:ascii="Arial" w:hAnsi="Arial" w:eastAsia="Arial" w:cs="Arial"/>
          <w:color w:val="000000"/>
          <w:sz w:val="20"/>
          <w:szCs w:val="20"/>
        </w:rPr>
        <w:t xml:space="preserve">Erstantragsteller: …</w:t>
      </w:r>
      <w:r>
        <w:rPr>
          <w:rFonts w:ascii="Arial" w:hAnsi="Arial" w:eastAsia="Arial" w:cs="Arial"/>
          <w:color w:val="000000"/>
          <w:sz w:val="20"/>
          <w:szCs w:val="20"/>
        </w:rPr>
        <w:br/>
        <w:t xml:space="preserve">geboren am …, Beruf …</w:t>
      </w:r>
      <w:r>
        <w:rPr>
          <w:rFonts w:ascii="Arial" w:hAnsi="Arial" w:eastAsia="Arial" w:cs="Arial"/>
          <w:color w:val="000000"/>
          <w:sz w:val="20"/>
          <w:szCs w:val="20"/>
        </w:rPr>
        <w:br/>
        <w:t xml:space="preserve">wohnhaft in …</w:t>
      </w:r>
    </w:p>
    <w:p>
      <w:pPr>
        <w:widowControl w:val="on"/>
        <w:pBdr/>
        <w:spacing w:before="140" w:after="240" w:line="288" w:lineRule="auto"/>
        <w:ind w:left="0" w:right="0"/>
        <w:jc w:val="left"/>
      </w:pPr>
      <w:r>
        <w:rPr>
          <w:rFonts w:ascii="Arial" w:hAnsi="Arial" w:eastAsia="Arial" w:cs="Arial"/>
          <w:color w:val="000000"/>
          <w:sz w:val="20"/>
          <w:szCs w:val="20"/>
        </w:rPr>
        <w:t xml:space="preserve">Zweitantragstellerin: …</w:t>
      </w:r>
      <w:r>
        <w:rPr>
          <w:rFonts w:ascii="Arial" w:hAnsi="Arial" w:eastAsia="Arial" w:cs="Arial"/>
          <w:color w:val="000000"/>
          <w:sz w:val="20"/>
          <w:szCs w:val="20"/>
        </w:rPr>
        <w:br/>
        <w:t xml:space="preserve">geboren am …, Beruf …</w:t>
      </w:r>
      <w:r>
        <w:rPr>
          <w:rFonts w:ascii="Arial" w:hAnsi="Arial" w:eastAsia="Arial" w:cs="Arial"/>
          <w:color w:val="000000"/>
          <w:sz w:val="20"/>
          <w:szCs w:val="20"/>
        </w:rPr>
        <w:br/>
        <w:t xml:space="preserve">wohnhaft in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Ehegattenunterhalt</w:t>
      </w:r>
    </w:p>
    <w:p>
      <w:pPr>
        <w:widowControl w:val="on"/>
        <w:pBdr/>
        <w:spacing w:before="140" w:after="240" w:line="288" w:lineRule="auto"/>
        <w:ind w:left="0" w:right="0"/>
        <w:jc w:val="left"/>
      </w:pPr>
      <w:r>
        <w:rPr>
          <w:rFonts w:ascii="Arial" w:hAnsi="Arial" w:eastAsia="Arial" w:cs="Arial"/>
          <w:color w:val="000000"/>
          <w:sz w:val="20"/>
          <w:szCs w:val="20"/>
        </w:rPr>
        <w:t xml:space="preserve">Beide Antragsteller verzichten wechselseitig auf jeglichen
Unterhalt, dies gilt auch für den Fall geänderter Verhältnisse,
geänderter gesetzlicher Bestimmungen oder unverschuldeter Notlage,
Krankheit und überhaupt für Ereignisse, die die Antragsteller
derzeit nicht bedenken oder nicht voraussehen können.</w:t>
      </w:r>
    </w:p>
    <w:p>
      <w:pPr>
        <w:widowControl w:val="on"/>
        <w:pBdr/>
        <w:spacing w:before="140" w:after="240" w:line="288" w:lineRule="auto"/>
        <w:ind w:left="0" w:right="0"/>
        <w:jc w:val="left"/>
      </w:pPr>
      <w:r>
        <w:rPr>
          <w:rFonts w:ascii="Arial" w:hAnsi="Arial" w:eastAsia="Arial" w:cs="Arial"/>
          <w:color w:val="000000"/>
          <w:sz w:val="20"/>
          <w:szCs w:val="20"/>
        </w:rPr>
        <w:t xml:space="preserve">Beide Antragsteller verzichten ausdrücklich auf die
Geltendmachung der Umstandsklausel und erklären, keine
Unterhaltsansprüche aus einem allfälligen, bewusst nicht geprüften
Verschulden an der Zerrüttung der Ehe ableiten zu wollen. Weiters
wird einvernehmlich festgehalten, dass kein Unterhaltsrückstand
besteht. Den Parteien ist dabei bekannt, dass sie auch in Zukunft
keinen wechselseitigen Anspruch auf Unterhalt geltend machen können
und auch keinen Anspruch auf Hinterbliebenenpension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Obsorge</w:t>
      </w:r>
    </w:p>
    <w:p>
      <w:pPr>
        <w:widowControl w:val="on"/>
        <w:pBdr/>
        <w:spacing w:before="140" w:after="240" w:line="288" w:lineRule="auto"/>
        <w:ind w:left="0" w:right="0"/>
        <w:jc w:val="left"/>
      </w:pPr>
      <w:r>
        <w:rPr>
          <w:rFonts w:ascii="Arial" w:hAnsi="Arial" w:eastAsia="Arial" w:cs="Arial"/>
          <w:color w:val="000000"/>
          <w:sz w:val="20"/>
          <w:szCs w:val="20"/>
        </w:rPr>
        <w:t xml:space="preserve">Die beiden Antragsteller vereinbaren hinsichtlich des
gemeinsamen mj Sohnes …, geboren am …, und der gemeinsamen mj
Tochter …, geboren am …, dass mit der Obsorge, das ist das Recht
und die Pflicht, die mj Kinder zu pflegen und zu erziehen, ihr
Vermögen zu verwalten und sie zu vertreten, nach der Ehescheidung
die beiden weiterhin gemeinsam betraut sind.</w:t>
      </w:r>
    </w:p>
    <w:p>
      <w:pPr>
        <w:widowControl w:val="on"/>
        <w:pBdr/>
        <w:spacing w:before="140" w:after="240" w:line="288" w:lineRule="auto"/>
        <w:ind w:left="0" w:right="0"/>
        <w:jc w:val="left"/>
      </w:pPr>
      <w:r>
        <w:rPr>
          <w:rFonts w:ascii="Arial" w:hAnsi="Arial" w:eastAsia="Arial" w:cs="Arial"/>
          <w:color w:val="000000"/>
          <w:sz w:val="20"/>
          <w:szCs w:val="20"/>
        </w:rPr>
        <w:t xml:space="preserve">Die beiden mj Kinder … und … werden hauptsächlich im Haushalt
der Zweitantragstellerin betreut.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Kindesunterhalt</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zur Bezahlung eines
monatlichen Unterhaltsbeitrages für … in Höhe von EUR … ab …,
längstens bis zur Selbsterhaltungsfähigkeit, sowie zur Bezahlung
eines monatlichen Unterhaltsbeitrages für … in Höhe von EUR …
ab …, längstens bis zur Selbsterhaltungsfähigkeit, jeweils zu
Handen der Kindesmutter. Diese monatlichen Unterhaltsbeiträge sind
am … eines jeden Monats im Vorhinein an die Zweitantragstellerin zu
bezahlen, wobei ein Respiro von 5 Tagen eingeräumt wird.</w:t>
      </w:r>
    </w:p>
    <w:p>
      <w:pPr>
        <w:widowControl w:val="on"/>
        <w:pBdr/>
        <w:spacing w:before="140" w:after="240" w:line="288" w:lineRule="auto"/>
        <w:ind w:left="0" w:right="0"/>
        <w:jc w:val="left"/>
      </w:pPr>
      <w:r>
        <w:rPr>
          <w:rFonts w:ascii="Arial" w:hAnsi="Arial" w:eastAsia="Arial" w:cs="Arial"/>
          <w:color w:val="000000"/>
          <w:sz w:val="20"/>
          <w:szCs w:val="20"/>
        </w:rPr>
        <w:t xml:space="preserve">Dieser Berechnung wird ein Nettodurchschnittseinkommen des
Erstantragstellers in Höhe von monatlich EUR … zugrunde
gelegt. Einvernehmlich wird festgehalten, dass bis …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Zusätzlich zum obgenannten Kindesunterhalt und ohne Anrechnung
auf denselben verpflichtet sich der Erstantragsteller, die
monatliche Prämie in Höhe von derzeit EUR … für den auf den mj
gemeinsamen Sohn … lautenden Bausparvertrag mit der Kontonummer …
sowie die monatliche Prämie in Höhe von derzeit EUR … für den
auf die mj gemeinsame Tochter … lautenden Bausparvertrag mit der
Kontonummer … bis zum Ende der Laufzeit des jeweiligen Vertrages zu
bezahlen. Die Auszahlung der jeweiligen Bausparguthaben erfolgt an
die Zweitantragstellerin, die sich verpflichtet, die Guthaben für
die beiden gemeinsamen Kinder … und … zu verwenden.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Kontaktrecht</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ist berechtigt, die beiden mj Kinder in einer
Woche an zwei Tagen (dzt Modus von Dienstagabend bis
Donnerstagabend) sowie in der darauffolgenden Woche von
Freitagabend 19 Uhr bis Sonntagabend 19 Uhr zu sich zu nehmen.
Dabei ist der Kindesvater berechtigt, die Kinder von der Wohnung
der Kindesmutter abzuholen und sie im Falle einer einvernehmlichen
Verlängerung des Wochenendbesuchsrechtes am Montag in die jeweilige
Schule zu bringen.</w:t>
      </w:r>
    </w:p>
    <w:p>
      <w:pPr>
        <w:widowControl w:val="on"/>
        <w:pBdr/>
        <w:spacing w:before="140" w:after="240" w:line="288" w:lineRule="auto"/>
        <w:ind w:left="0" w:right="0"/>
        <w:jc w:val="left"/>
      </w:pPr>
      <w:r>
        <w:rPr>
          <w:rFonts w:ascii="Arial" w:hAnsi="Arial" w:eastAsia="Arial" w:cs="Arial"/>
          <w:color w:val="000000"/>
          <w:sz w:val="20"/>
          <w:szCs w:val="20"/>
        </w:rPr>
        <w:t xml:space="preserve">Die Kindeseltern vereinbaren ein Urlaubskontaktrecht des
Kindesvaters von zumindest zwei zusammenhängenden Wochen während
der Sommerferien und vereinbaren in diesem Zusammenhang, diesen
Urlaub zumindest sechs Monate davor abzuklären.</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ist darüber hinaus berechtigt, die beiden mj
Kinder eine halbe Woche in den Osterferien sowie eine Woche in den
Weihnachtsferien zu sich zu 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Liegenschaften</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ist Eigentümer von … Anteilen, die
Zweitantragstellerin Eigentümerin von … Anteilen der Liegenschaft
EZ … Grundbuch … Auf der genannten Liegenschaft mit der
Grundstücksadresse … befindet sich ein Einfamilienhaus, in dem sich
die bisherige Ehewohnung befindet. Die Liegenschaft hat
nachfolgenden Grundbuchsstand:</w:t>
      </w:r>
    </w:p>
    <w:p>
      <w:pPr>
        <w:widowControl w:val="on"/>
        <w:pBdr/>
        <w:spacing w:before="140" w:after="240" w:line="288" w:lineRule="auto"/>
        <w:ind w:left="0" w:right="0"/>
        <w:jc w:val="left"/>
      </w:pPr>
      <w:r>
        <w:rPr>
          <w:rFonts w:ascii="Arial" w:hAnsi="Arial" w:eastAsia="Arial" w:cs="Arial"/>
          <w:color w:val="000000"/>
          <w:sz w:val="20"/>
          <w:szCs w:val="20"/>
        </w:rPr>
        <w:t xml:space="preserve">… [Grundbuchsauszug einfügen]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verpflichtet sich, unter Verzicht auf
jeglichen Räumungsaufschub bis längstens … gemeinsam mit den mj
Kindern … und … aus der ehelichen Wohnung unter Mitnahme ihrer
persönlichen Sachen auszuziehen.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anerkennt das alleinige Eigentum des
Erstantragstellers an sämtlichen derzeit in der Ehewohnung
befindlichen Einrichtungsgegenständen.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ist berechtigt, die Hälfte des in der
Ehewohnung befindlichen beweglichen Hausrates (Geschirr,
Bettwäsche, Handtücher etc) sowie die im Eigentum der gemeinsamen
mj Kinder stehenden Fahrnisse anlässlich ihres Auszuges aus der
Ehewohnung mitzunehmen.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überträgt im Zuge der Aufteilung des
ehelichen Gebrauchsvermögens und der ehelichen Ersparnisse ihre …
Anteile an der Liegenschaft EZ … Grundbuch …, an den
Erstantragsteller und dieser übernimmt diese … Anteile an der
genannten Liegenschaft, sodass er Alleineigentümer dieser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 geboren am …, erteilt hiermit ihre ausdrückliche und
unwiderrufliche Einwilligung, dass aufgrund dieses Vergleiches, ob
der in ihrem Eigentum stehenden … Anteile an der unter Punkt …
genannten Liegenschaft ohne ihr weiteres Wissen, jedoch nicht auf
ihre Kosten, das Eigentumsrecht für …, geboren am …, einverleibt
werde.</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sämtliche mit der
Übertragung der unter Punkt … und … genannten Liegenschaftsanteile
verbundenen Kosten, Gebühren und Abgaben aller Art in seine
alleinige Zahlungsverpflichtung zu übernehmen und diesbezüglich die
Zweitantragstellerin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Sonstige Vermögenswerte</w:t>
      </w:r>
    </w:p>
    <w:p>
      <w:pPr>
        <w:widowControl w:val="on"/>
        <w:pBdr/>
        <w:spacing w:before="140" w:after="240" w:line="288" w:lineRule="auto"/>
        <w:ind w:left="0" w:right="0"/>
        <w:jc w:val="left"/>
      </w:pPr>
      <w:r>
        <w:rPr>
          <w:rFonts w:ascii="Arial" w:hAnsi="Arial" w:eastAsia="Arial" w:cs="Arial"/>
          <w:color w:val="000000"/>
          <w:sz w:val="20"/>
          <w:szCs w:val="20"/>
        </w:rPr>
        <w:t xml:space="preserve">Die beiden Antragsteller haben gemeinsam bei der … zu Konto
Nummer … ein Darlehen in Höhe von EUR … sowie zu Kontonummer …
ein Darlehen in Höhe von EUR … aufgenommen. Vom erstgenannten
Darlehen haftet zum Stichtag … ein Betrag von EUR …, vom
zweitgenannten Darlehen haftet zum Stichtag … ein Betrag von
EUR … aus. Diese Darlehen sind aufgrund der Pfandurkunde vom …
sub C-LNR … der Liegenschaft EZ … Grundbuch … als Haupteinlage
sowie sub C-LNr … der Liegenschaft EZ … Grundbuch … als
Nebeneinlage einverleibt.</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die Rückzahlung der
genannten Verbindlichkeiten in sein alleiniges Zahlungsversprechen
zu übernehmen und die Zweitantragstellerin für den Fall ihrer
Inanspruchnahme schad-, klag- und exekutionslos zu halten. Die
Parteien beantragen Beschlussfassung nach § 98 EheG, so dass
der Erstantragsteller Hauptschuldner und die Zweitantragstellerin
Ausfallsbürgin ist.</w:t>
      </w:r>
    </w:p>
    <w:p>
      <w:pPr>
        <w:widowControl w:val="on"/>
        <w:pBdr/>
        <w:spacing w:before="140" w:after="240" w:line="288" w:lineRule="auto"/>
        <w:ind w:left="0" w:right="0"/>
        <w:jc w:val="left"/>
      </w:pPr>
      <w:r>
        <w:rPr>
          <w:rFonts w:ascii="Arial" w:hAnsi="Arial" w:eastAsia="Arial" w:cs="Arial"/>
          <w:color w:val="000000"/>
          <w:sz w:val="20"/>
          <w:szCs w:val="20"/>
        </w:rPr>
        <w:t xml:space="preserve">Weitere Schulden sind nicht vorhanden.</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überträgt sein Eigentum am Pkw …,
behördliches Kennzeichen … (Fahrgestellnummer …) an die
Zweitantragstellerin. Der Erstantragsteller verpflichtet sich,
binnen 14 Tagen nach Rechtskraft des Scheidungsbeschlusses
obgenannten Pkw an die Zweitantragstellerin samt Schlüssel und
Typenschein zu übergeben. Er verpflichtet sich zudem, allfällig
weitere Erklärungen gegenüber der Zulassungsbehörde im Sinne dieser
Vereinbarung abzugeben. Die Zweitantragstellerin verpflichtet sich,
die Ummeldung des Fahrzeuges binnen 4 Wochen ab Übergabe der
Schlüssel sowie Dokumente vorzunehmen.</w:t>
      </w:r>
    </w:p>
    <w:p>
      <w:pPr>
        <w:widowControl w:val="on"/>
        <w:pBdr/>
        <w:spacing w:before="140" w:after="240" w:line="288" w:lineRule="auto"/>
        <w:ind w:left="0" w:right="0"/>
        <w:jc w:val="left"/>
      </w:pPr>
      <w:r>
        <w:rPr>
          <w:rFonts w:ascii="Arial" w:hAnsi="Arial" w:eastAsia="Arial" w:cs="Arial"/>
          <w:color w:val="000000"/>
          <w:sz w:val="20"/>
          <w:szCs w:val="20"/>
        </w:rPr>
        <w:t xml:space="preserve">Der Pkw …, behördliches Kennzeichen … (Fahrgestellnummer …)
verbleibt im Alleineigentum des Erstantragstellers.</w:t>
      </w:r>
    </w:p>
    <w:p>
      <w:pPr>
        <w:widowControl w:val="on"/>
        <w:pBdr/>
        <w:spacing w:before="140" w:after="240" w:line="288" w:lineRule="auto"/>
        <w:ind w:left="0" w:right="0"/>
        <w:jc w:val="left"/>
      </w:pPr>
      <w:r>
        <w:rPr>
          <w:rFonts w:ascii="Arial" w:hAnsi="Arial" w:eastAsia="Arial" w:cs="Arial"/>
          <w:color w:val="000000"/>
          <w:sz w:val="20"/>
          <w:szCs w:val="20"/>
        </w:rPr>
        <w:t xml:space="preserve">Es bestehen keine Lebensversicherungen.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Eheliches Gebrauchsvermögen</w:t>
      </w:r>
    </w:p>
    <w:p>
      <w:pPr>
        <w:widowControl w:val="on"/>
        <w:pBdr/>
        <w:spacing w:before="140" w:after="240" w:line="288" w:lineRule="auto"/>
        <w:ind w:left="0" w:right="0"/>
        <w:jc w:val="left"/>
      </w:pPr>
      <w:r>
        <w:rPr>
          <w:rFonts w:ascii="Arial" w:hAnsi="Arial" w:eastAsia="Arial" w:cs="Arial"/>
          <w:color w:val="000000"/>
          <w:sz w:val="20"/>
          <w:szCs w:val="20"/>
        </w:rPr>
        <w:t xml:space="preserve">Festgestellt wird, dass sonstige eheliche Ersparnisse oder
Schulden nicht bestehen. Das sonstige eheliche Gebrauchsvermögen
wurde bereits aufgeteilt.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der
Zweitantragstellerin aus dem Titel der Aufteilung des ehelichen
Gebrauchsvermögens und der ehelichen Ersparnisse eine
Ausgleichszahlung im Betrag von EUR … zu bezahlen. Der
genannte Betrag ist binnen 4 Wochen nach Rechtskraft der Scheidung
an die Zweitantragstellerin auf deren Konto … bei der … (BLZ …) zu
bezahlen. Für den Fall der nicht fristgerechten Zahlung gelten
6 % Verzugszinsen als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Sonstiges</w:t>
      </w:r>
    </w:p>
    <w:p>
      <w:pPr>
        <w:widowControl w:val="on"/>
        <w:pBdr/>
        <w:spacing w:before="140" w:after="240" w:line="288" w:lineRule="auto"/>
        <w:ind w:left="0" w:right="0"/>
        <w:jc w:val="left"/>
      </w:pPr>
      <w:r>
        <w:rPr>
          <w:rFonts w:ascii="Arial" w:hAnsi="Arial" w:eastAsia="Arial" w:cs="Arial"/>
          <w:color w:val="000000"/>
          <w:sz w:val="20"/>
          <w:szCs w:val="20"/>
        </w:rPr>
        <w:t xml:space="preserve">Die Gerichtsgebühren werden von den beiden Antragstellern
jeweils zur Hälfte getragen, die Kosten der jeweiligen
Rechtsvertretung werden von beiden Antragstellern jeweils selbst
getragen.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erklären unwiderruflich, auf weitere Ansprüche
gegeneinander hinsichtlich des ehelichen Gebrauchsvermögens und der
ehelichen Ersparnisse (§§ 81 ff EheG) sowie hinsichtlich der
Abgeltung der Mitwirkung eines Ehegatten im Erwerb des anderen
(§ 98 ABGB), sofern solche bestehen, zu verzichten.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Erstantragsteller/in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Zweitantragsteller/in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Antrag auf Aufteilung des Vermögens muss innerhalb eines
Jahres nach der endgültigen Scheidung gestellt werden. Falls die
Frist nicht eingehalten wurde, besteht kein Aufteilungsanspruch
mehr.</w:t>
      </w:r>
    </w:p>
    <w:p>
      <w:pPr>
        <w:widowControl w:val="on"/>
        <w:pBdr/>
        <w:spacing w:before="140" w:after="240" w:line="288" w:lineRule="auto"/>
        <w:ind w:left="0" w:right="0"/>
        <w:jc w:val="left"/>
      </w:pPr>
      <w:r>
        <w:rPr>
          <w:rFonts w:ascii="Arial" w:hAnsi="Arial" w:eastAsia="Arial" w:cs="Arial"/>
          <w:color w:val="000000"/>
          <w:sz w:val="20"/>
          <w:szCs w:val="20"/>
        </w:rPr>
        <w:t xml:space="preserve">Als eheliches Gebrauchsvermögen werden sämtliche Güter
bezeichnet, die von beiden Ehepartnern gemeinsam genutzt werden und
während der aufrechten Ehe erworben wurden. Dazu gehört Hausrat wie
Geschirr, Besteck und Mobiliar, aber auch die Ehewohnung und
Haustiere.</w:t>
      </w:r>
    </w:p>
    <w:p>
      <w:pPr>
        <w:widowControl w:val="on"/>
        <w:pBdr/>
        <w:spacing w:before="140" w:after="240" w:line="288" w:lineRule="auto"/>
        <w:ind w:left="0" w:right="0"/>
        <w:jc w:val="left"/>
      </w:pPr>
      <w:r>
        <w:rPr>
          <w:rFonts w:ascii="Arial" w:hAnsi="Arial" w:eastAsia="Arial" w:cs="Arial"/>
          <w:color w:val="000000"/>
          <w:sz w:val="20"/>
          <w:szCs w:val="20"/>
        </w:rPr>
        <w:t xml:space="preserve">Viele Scheidungs(folgen)vereinbarungen unterliegen einer
Formpflicht und sind notariell zu beglaubigen. Wurde gegen eine
Formpflicht verstoßen, ist die Scheidungs(folgen)vereinbarung
nichtig.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02451">
    <w:multiLevelType w:val="hybridMultilevel"/>
    <w:lvl w:ilvl="0" w:tplc="83940381">
      <w:start w:val="1"/>
      <w:numFmt w:val="decimal"/>
      <w:lvlText w:val="%1."/>
      <w:lvlJc w:val="left"/>
      <w:pPr>
        <w:ind w:left="720" w:hanging="360"/>
      </w:pPr>
    </w:lvl>
    <w:lvl w:ilvl="1" w:tplc="83940381" w:tentative="1">
      <w:start w:val="1"/>
      <w:numFmt w:val="lowerLetter"/>
      <w:lvlText w:val="%2."/>
      <w:lvlJc w:val="left"/>
      <w:pPr>
        <w:ind w:left="1440" w:hanging="360"/>
      </w:pPr>
    </w:lvl>
    <w:lvl w:ilvl="2" w:tplc="83940381" w:tentative="1">
      <w:start w:val="1"/>
      <w:numFmt w:val="lowerRoman"/>
      <w:lvlText w:val="%3."/>
      <w:lvlJc w:val="right"/>
      <w:pPr>
        <w:ind w:left="2160" w:hanging="180"/>
      </w:pPr>
    </w:lvl>
    <w:lvl w:ilvl="3" w:tplc="83940381" w:tentative="1">
      <w:start w:val="1"/>
      <w:numFmt w:val="decimal"/>
      <w:lvlText w:val="%4."/>
      <w:lvlJc w:val="left"/>
      <w:pPr>
        <w:ind w:left="2880" w:hanging="360"/>
      </w:pPr>
    </w:lvl>
    <w:lvl w:ilvl="4" w:tplc="83940381" w:tentative="1">
      <w:start w:val="1"/>
      <w:numFmt w:val="lowerLetter"/>
      <w:lvlText w:val="%5."/>
      <w:lvlJc w:val="left"/>
      <w:pPr>
        <w:ind w:left="3600" w:hanging="360"/>
      </w:pPr>
    </w:lvl>
    <w:lvl w:ilvl="5" w:tplc="83940381" w:tentative="1">
      <w:start w:val="1"/>
      <w:numFmt w:val="lowerRoman"/>
      <w:lvlText w:val="%6."/>
      <w:lvlJc w:val="right"/>
      <w:pPr>
        <w:ind w:left="4320" w:hanging="180"/>
      </w:pPr>
    </w:lvl>
    <w:lvl w:ilvl="6" w:tplc="83940381" w:tentative="1">
      <w:start w:val="1"/>
      <w:numFmt w:val="decimal"/>
      <w:lvlText w:val="%7."/>
      <w:lvlJc w:val="left"/>
      <w:pPr>
        <w:ind w:left="5040" w:hanging="360"/>
      </w:pPr>
    </w:lvl>
    <w:lvl w:ilvl="7" w:tplc="83940381" w:tentative="1">
      <w:start w:val="1"/>
      <w:numFmt w:val="lowerLetter"/>
      <w:lvlText w:val="%8."/>
      <w:lvlJc w:val="left"/>
      <w:pPr>
        <w:ind w:left="5760" w:hanging="360"/>
      </w:pPr>
    </w:lvl>
    <w:lvl w:ilvl="8" w:tplc="83940381" w:tentative="1">
      <w:start w:val="1"/>
      <w:numFmt w:val="lowerRoman"/>
      <w:lvlText w:val="%9."/>
      <w:lvlJc w:val="right"/>
      <w:pPr>
        <w:ind w:left="6480" w:hanging="180"/>
      </w:pPr>
    </w:lvl>
  </w:abstractNum>
  <w:abstractNum w:abstractNumId="76102450">
    <w:multiLevelType w:val="hybridMultilevel"/>
    <w:lvl w:ilvl="0" w:tplc="50758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02450">
    <w:abstractNumId w:val="76102450"/>
  </w:num>
  <w:num w:numId="76102451">
    <w:abstractNumId w:val="76102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2131841" Type="http://schemas.openxmlformats.org/officeDocument/2006/relationships/numbering" Target="numbering.xml"/><Relationship Id="rId8482100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