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6126803" w:name="document"/>
    <w:bookmarkEnd w:id="46126803"/>
    <w:p/>
    <w:p>
      <w:pPr>
        <w:widowControl w:val="on"/>
        <w:pBdr/>
        <w:spacing w:before="0" w:after="280" w:line="240" w:lineRule="auto"/>
        <w:ind w:left="0" w:right="0"/>
        <w:jc w:val="left"/>
      </w:pPr>
      <w:r>
        <w:rPr>
          <w:rFonts w:ascii="Arial" w:hAnsi="Arial" w:eastAsia="Arial" w:cs="Arial"/>
          <w:color w:val="363A40"/>
          <w:sz w:val="24"/>
          <w:szCs w:val="24"/>
        </w:rPr>
        <w:t xml:space="preserve">Dokument-ID: 1060650 | Redaktion FORUM Media -
Albert Scherzer - Stanislava Doganova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Einräumung eines Wohnungsgebrauchsrechtes</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Dienstbarkeitsvertrag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 Feststellungen</w:t>
      </w:r>
    </w:p>
    <w:p>
      <w:pPr>
        <w:widowControl w:val="on"/>
        <w:pBdr/>
        <w:spacing w:before="140" w:after="240" w:line="288" w:lineRule="auto"/>
        <w:ind w:left="0" w:right="0"/>
        <w:jc w:val="left"/>
      </w:pPr>
      <w:r>
        <w:rPr>
          <w:rFonts w:ascii="Arial" w:hAnsi="Arial" w:eastAsia="Arial" w:cs="Arial"/>
          <w:color w:val="000000"/>
          <w:sz w:val="20"/>
          <w:szCs w:val="20"/>
        </w:rPr>
        <w:t xml:space="preserve">Für Herr/Frau A, geb …, wohnhaft in …, ist in EZ …, GB …,
bestehend aus den Grundstücken Nr … und … mit dem darauf
errichteten Gebäude mit der Anschrift …, das Eigentumsrecht zu …/…
Miteigentumsanteilen, B-LNR …, einverleibt. Mit diesen Anteilen ist
das Wohnungseigentum an W … untrennbar verbunden.</w:t>
      </w:r>
    </w:p>
    <w:p>
      <w:pPr>
        <w:widowControl w:val="on"/>
        <w:pBdr/>
        <w:spacing w:before="140" w:after="240" w:line="288" w:lineRule="auto"/>
        <w:ind w:left="0" w:right="0"/>
        <w:jc w:val="left"/>
      </w:pPr>
      <w:r>
        <w:rPr>
          <w:rFonts w:ascii="Arial" w:hAnsi="Arial" w:eastAsia="Arial" w:cs="Arial"/>
          <w:color w:val="000000"/>
          <w:sz w:val="20"/>
          <w:szCs w:val="20"/>
        </w:rPr>
        <w:t xml:space="preserve">Die Wohnung weist eine Nutzfläche von circa … m² auf und besteht
aus einem Bad, einem WC, Gang, und … Zimmern, …</w:t>
      </w:r>
    </w:p>
    <w:p>
      <w:pPr>
        <w:widowControl w:val="on"/>
        <w:pBdr/>
        <w:spacing w:before="140" w:after="240" w:line="288" w:lineRule="auto"/>
        <w:ind w:left="0" w:right="0"/>
        <w:jc w:val="left"/>
      </w:pPr>
      <w:r>
        <w:rPr>
          <w:rFonts w:ascii="Arial" w:hAnsi="Arial" w:eastAsia="Arial" w:cs="Arial"/>
          <w:color w:val="000000"/>
          <w:sz w:val="20"/>
          <w:szCs w:val="20"/>
        </w:rPr>
        <w:t xml:space="preserve">Diese Liegenschaftsanteile sind frei von bücherlichen
Lasten.</w:t>
      </w:r>
    </w:p>
    <w:p>
      <w:pPr>
        <w:widowControl w:val="on"/>
        <w:pBdr/>
        <w:spacing w:before="140" w:after="240" w:line="288" w:lineRule="auto"/>
        <w:ind w:left="0" w:right="0"/>
        <w:jc w:val="left"/>
      </w:pPr>
      <w:r>
        <w:rPr>
          <w:rFonts w:ascii="Arial" w:hAnsi="Arial" w:eastAsia="Arial" w:cs="Arial"/>
          <w:color w:val="000000"/>
          <w:sz w:val="20"/>
          <w:szCs w:val="20"/>
        </w:rPr>
        <w:t xml:space="preserve">Herr/Frau B, geb …, wohnhaft in …, ist der/die Vater/Mutter von
Herr/Frau A.</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Dienstbarkeitsvereinbarung</w:t>
      </w:r>
    </w:p>
    <w:p>
      <w:pPr>
        <w:widowControl w:val="on"/>
        <w:pBdr/>
        <w:spacing w:before="140" w:after="240" w:line="288" w:lineRule="auto"/>
        <w:ind w:left="0" w:right="0"/>
        <w:jc w:val="left"/>
      </w:pPr>
      <w:r>
        <w:rPr>
          <w:rFonts w:ascii="Arial" w:hAnsi="Arial" w:eastAsia="Arial" w:cs="Arial"/>
          <w:color w:val="000000"/>
          <w:sz w:val="20"/>
          <w:szCs w:val="20"/>
        </w:rPr>
        <w:t xml:space="preserve">Herr/Frau A räumt für sich und seine/ihre Rechtsnachfolger
Herrn/Frau B, geb …, auf Lebenszeit das Wohnungsgebrauchsrecht an
der unter Punkt I. dieses Vertrages näher beschriebenen Wohnung
ein.</w:t>
      </w:r>
    </w:p>
    <w:p>
      <w:pPr>
        <w:widowControl w:val="on"/>
        <w:pBdr/>
        <w:spacing w:before="140" w:after="240" w:line="288" w:lineRule="auto"/>
        <w:ind w:left="0" w:right="0"/>
        <w:jc w:val="left"/>
      </w:pPr>
      <w:r>
        <w:rPr>
          <w:rFonts w:ascii="Arial" w:hAnsi="Arial" w:eastAsia="Arial" w:cs="Arial"/>
          <w:color w:val="000000"/>
          <w:sz w:val="20"/>
          <w:szCs w:val="20"/>
        </w:rPr>
        <w:t xml:space="preserve">Das Wohnungsgebrauchsrecht ist als Dienstbarkeit der Wohnung zu
verbüchern.</w:t>
      </w:r>
    </w:p>
    <w:p>
      <w:pPr>
        <w:widowControl w:val="on"/>
        <w:pBdr/>
        <w:spacing w:before="140" w:after="240" w:line="288" w:lineRule="auto"/>
        <w:ind w:left="0" w:right="0"/>
        <w:jc w:val="left"/>
      </w:pPr>
      <w:r>
        <w:rPr>
          <w:rFonts w:ascii="Arial" w:hAnsi="Arial" w:eastAsia="Arial" w:cs="Arial"/>
          <w:color w:val="000000"/>
          <w:sz w:val="20"/>
          <w:szCs w:val="20"/>
        </w:rPr>
        <w:t xml:space="preserve">Herr/Frau B erklärt durch Unterfertigung die ausdrückliche
Annahme dieser Rechtseinräumung.</w:t>
      </w:r>
    </w:p>
    <w:p>
      <w:pPr>
        <w:widowControl w:val="on"/>
        <w:pBdr/>
        <w:spacing w:before="140" w:after="240" w:line="288" w:lineRule="auto"/>
        <w:ind w:left="0" w:right="0"/>
        <w:jc w:val="left"/>
      </w:pPr>
      <w:r>
        <w:rPr>
          <w:rFonts w:ascii="Arial" w:hAnsi="Arial" w:eastAsia="Arial" w:cs="Arial"/>
          <w:color w:val="000000"/>
          <w:sz w:val="20"/>
          <w:szCs w:val="20"/>
        </w:rPr>
        <w:t xml:space="preserve">Sämtliche auf die Wohnung entfallenden Kosten für Reparaturen,
Instandhaltung, Versicherungen sowie die anteiligen Betriebskosten
für das Haus trägt der Eigentümer/die Eigentümerin der Wohnung.</w:t>
      </w:r>
    </w:p>
    <w:p>
      <w:pPr>
        <w:widowControl w:val="on"/>
        <w:pBdr/>
        <w:spacing w:before="140" w:after="240" w:line="288" w:lineRule="auto"/>
        <w:ind w:left="0" w:right="0"/>
        <w:jc w:val="left"/>
      </w:pPr>
      <w:r>
        <w:rPr>
          <w:rFonts w:ascii="Arial" w:hAnsi="Arial" w:eastAsia="Arial" w:cs="Arial"/>
          <w:color w:val="000000"/>
          <w:sz w:val="20"/>
          <w:szCs w:val="20"/>
        </w:rPr>
        <w:t xml:space="preserve">Der/Die Dienstbarkeitsberechtigte verpflichtet sich hingegen,
sämtliche laufenden Kosten der Wohnung, welche sich nach dem Ausmaß
der tatsächlichen Inanspruchnahme richten, wie Strom, Heizung und
dergleichen, zu bezahlen.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 Einverleibungserklärung</w:t>
      </w:r>
    </w:p>
    <w:p>
      <w:pPr>
        <w:widowControl w:val="on"/>
        <w:pBdr/>
        <w:spacing w:before="140" w:after="240" w:line="288" w:lineRule="auto"/>
        <w:ind w:left="0" w:right="0"/>
        <w:jc w:val="left"/>
      </w:pPr>
      <w:r>
        <w:rPr>
          <w:rFonts w:ascii="Arial" w:hAnsi="Arial" w:eastAsia="Arial" w:cs="Arial"/>
          <w:color w:val="000000"/>
          <w:sz w:val="20"/>
          <w:szCs w:val="20"/>
        </w:rPr>
        <w:t xml:space="preserve">Zur Erzeugung der dinglichen Rechtswirkungen aus diesem Vertrag
erteilt Herr/Frau A, geb …, ihre/seine ausdrückliche Einwilligung,
dass in der EZ …, GB …, ob seinen/ihren …/… Miteigentumsanteilen,
mit welchen das Wohnungseigentum an W … untrennbar verbunden ist,
die Dienstbarkeit der Wohnung gemäß Punkt II. dieses Vertrages
zugunsten von Herrn/Frau B, geb …, wohnhaft in …, einverleibt
wird.</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2879887" w:name="note1"/>
            <w:bookmarkEnd w:id="22879887"/>
            <w:bookmarkStart w:id="6474056656166" w:name="note1"/>
            <w:r>
              <w:rPr>
                <w:rFonts w:ascii="Arial" w:hAnsi="Arial" w:eastAsia="Arial" w:cs="Arial"/>
                <w:b/>
                <w:bCs/>
                <w:color w:val="000000"/>
                <w:position w:val="0"/>
                <w:sz w:val="20"/>
                <w:szCs w:val="20"/>
              </w:rPr>
              <w:t xml:space="preserve">[1]</w:t>
            </w:r>
            <w:bookmarkEnd w:id="647405665616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Dienstbarkeit der Wohnung ist speziell in § 521 ABGB
geregelt. Sie kann entweder als Gebrauchsrecht (§ 504 ABGB)
oder als Fruchtgenussrecht (§ 509 ABGB) vereinbart werden. Je
nach Ausgestaltung des Servituts sind somit neben der
Spezialbestimmung nach § 521 ABGB entweder die Bestimmungen
nach §§ 504 ff ABGB oder §§ 509 ff ABGB
heranzuziehen.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Unter dem Wohnungsgebrauchsrecht versteht man das Recht der
bloßen Nutzung einer fremden Wohnung zum eigenen Bedürfnis. Damit
ist die Nutzungsüberlassung an Dritte ausgeschlossen. Durch den
Gebrauch darf die Substanz der Wohnung weder verletzt noch
verändert werden. Die Einräumung des Gebrauchsrechts einer Wohnung
ist die am häufigsten vorkommende Dienstbarkeit des Gebrauches. Das
Gebrauchsrecht kann auch zur Nutzung anderer beweglicher oder
unbeweglicher Sachen eingeräumt werden, wie zum Beispiel an einer
bestimmten Fläche eines Gebäudes, einem Aufzug, an
Kunstgegenständen etc Vom bloßen Gebrauchsrecht nach § 504
ABGB ist das Nutzungsrecht nach § 509 ABGB zu unterscheiden.
Wenngleich beim Wohnungsgebrauchsrecht begrifflich die Benützung
der Räume zu Wohnzwecken im Vordergrund steht, so ist doch dadurch
eine Mitbenützung zu geschäftlichen Zwecken nicht ausgeschlossen
(RIS-Justiz RS0011867).</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8194023" w:name="note2"/>
            <w:bookmarkEnd w:id="78194023"/>
            <w:bookmarkStart w:id="5286578458538" w:name="note2"/>
            <w:r>
              <w:rPr>
                <w:rFonts w:ascii="Arial" w:hAnsi="Arial" w:eastAsia="Arial" w:cs="Arial"/>
                <w:b/>
                <w:bCs/>
                <w:color w:val="000000"/>
                <w:position w:val="0"/>
                <w:sz w:val="20"/>
                <w:szCs w:val="20"/>
              </w:rPr>
              <w:t xml:space="preserve">[2]</w:t>
            </w:r>
            <w:bookmarkEnd w:id="528657845853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Eintragung des Nutzungsrechtes im Grundbuch müssen die
Unterschriften der Vertragsparteien beglaubigt sein.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dingliche Wirkung des vereinbarten Gebrauchsrechtes an
beweglichen Sachen wird durch Urkundenhinterlegung bei Gericht nach
§ 434 ABGB erzielt.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8788010" w:name="note3"/>
            <w:bookmarkEnd w:id="98788010"/>
            <w:bookmarkStart w:id="9720241840411" w:name="note3"/>
            <w:r>
              <w:rPr>
                <w:rFonts w:ascii="Arial" w:hAnsi="Arial" w:eastAsia="Arial" w:cs="Arial"/>
                <w:b/>
                <w:bCs/>
                <w:color w:val="000000"/>
                <w:position w:val="0"/>
                <w:sz w:val="20"/>
                <w:szCs w:val="20"/>
              </w:rPr>
              <w:t xml:space="preserve">[3]</w:t>
            </w:r>
            <w:bookmarkEnd w:id="972024184041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Vertragsparteien können den Inhalt der Vereinbarung frei
gestalten. §§ 504 ff ABGB enthalten dispositives Recht und
können daher vertraglich abbedungen werden. So kann das
Gebrauchsrecht etwa entgeltlich oder unentgeltlich, frei vererblich
oder veräußerbar vereinbart werden. Sofern nicht anders vereinbart,
ist beim Wohnungsgebrauchsrecht der Eigentümer zur Erhaltung und
Instandhaltung der Wohnung verpflichtet.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7276662" w:name="note4"/>
            <w:bookmarkEnd w:id="77276662"/>
            <w:bookmarkStart w:id="2071492448324" w:name="note4"/>
            <w:r>
              <w:rPr>
                <w:rFonts w:ascii="Arial" w:hAnsi="Arial" w:eastAsia="Arial" w:cs="Arial"/>
                <w:b/>
                <w:bCs/>
                <w:color w:val="000000"/>
                <w:position w:val="0"/>
                <w:sz w:val="20"/>
                <w:szCs w:val="20"/>
              </w:rPr>
              <w:t xml:space="preserve">[4]</w:t>
            </w:r>
            <w:bookmarkEnd w:id="207149244832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An ideellen Teilen einer Liegenschaft kann grundsätzlich keine
Dienstbarkeit des Wohnungsgebrauchsrechts begründet werden, weil
dem schlichten Miteigentümer kein Recht auf Nutzung eines
bestimmten Liegenschaftsteils zusteht (OGH 25.11.2008, 5 Ob
157/08m). Demgegenüber kann bei einem mit Wohnungseigentum
verbundenen Miteigentumsanteil die Dienstbarkeit des
Wohnungsgebrauchsrechts begründet werden.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0554360" w:name="note5"/>
            <w:bookmarkEnd w:id="20554360"/>
            <w:bookmarkStart w:id="1742950574829" w:name="note5"/>
            <w:r>
              <w:rPr>
                <w:rFonts w:ascii="Arial" w:hAnsi="Arial" w:eastAsia="Arial" w:cs="Arial"/>
                <w:b/>
                <w:bCs/>
                <w:color w:val="000000"/>
                <w:position w:val="0"/>
                <w:sz w:val="20"/>
                <w:szCs w:val="20"/>
              </w:rPr>
              <w:t xml:space="preserve">[5]</w:t>
            </w:r>
            <w:bookmarkEnd w:id="174295057482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Wohnungsgebrauchsrecht umfasst nur das Recht, die Wohnung
zum persönlichen Gebrauch zu benützen (RIS-Justiz
RS0011821). </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5742637" w:name="note6"/>
            <w:bookmarkEnd w:id="65742637"/>
            <w:bookmarkStart w:id="907382153220" w:name="note6"/>
            <w:r>
              <w:rPr>
                <w:rFonts w:ascii="Arial" w:hAnsi="Arial" w:eastAsia="Arial" w:cs="Arial"/>
                <w:b/>
                <w:bCs/>
                <w:color w:val="000000"/>
                <w:position w:val="0"/>
                <w:sz w:val="20"/>
                <w:szCs w:val="20"/>
              </w:rPr>
              <w:t xml:space="preserve">[6]</w:t>
            </w:r>
            <w:bookmarkEnd w:id="90738215322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bestimmte hohe Qualität oder Intensität der Ausübung der
persönlichen Dienstbarkeit des Wohnungsgebrauchs innerhalb der
Verjährungsfrist ist zur Vermeidung der Verjährung des Rechts nicht
erforderlich. Daher wird ein Wohnungsgebrauchsrecht immer dann
ausgeübt, wenn der Berechtigte die Wohnräume im Rahmen seiner
jeweiligen Bedürfnisse benützt. Eine Beurteilung der Rechtsausübung
in analoger Anwendung der von der Rechtsprechung zum
Kündigungsgrund gem § 30 Abs 2 Z 6 MRG entwickelten
Leitlinien kommt nicht in Betracht (RIS-Justiz
RS0121871). </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4550333" w:name="note7"/>
            <w:bookmarkEnd w:id="14550333"/>
            <w:bookmarkStart w:id="2603506374683" w:name="note7"/>
            <w:r>
              <w:rPr>
                <w:rFonts w:ascii="Arial" w:hAnsi="Arial" w:eastAsia="Arial" w:cs="Arial"/>
                <w:b/>
                <w:bCs/>
                <w:color w:val="000000"/>
                <w:position w:val="0"/>
                <w:sz w:val="20"/>
                <w:szCs w:val="20"/>
              </w:rPr>
              <w:t xml:space="preserve">[7]</w:t>
            </w:r>
            <w:bookmarkEnd w:id="260350637468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Keine stillschweigende Begründung der Dienstbarkeit des
Wohnungsrechtes allein durch die Tatsache, dass mehrere Angehörige
einer (Adels-)Familie viele Jahre lang ein ihren Verwandten
gehörendes Schloss bewohnen; eine solche Benützung ist auch im
Rahmen eines ungeregelten, sich aus den verwandtschaftlichem
Nahverhältnis ergebenden tatsächlichen Zustandes möglich
(RIS-Justiz RS0011888). </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1262179" w:name="note8"/>
            <w:bookmarkEnd w:id="11262179"/>
            <w:bookmarkStart w:id="72205658156" w:name="note8"/>
            <w:r>
              <w:rPr>
                <w:rFonts w:ascii="Arial" w:hAnsi="Arial" w:eastAsia="Arial" w:cs="Arial"/>
                <w:b/>
                <w:bCs/>
                <w:color w:val="000000"/>
                <w:position w:val="0"/>
                <w:sz w:val="20"/>
                <w:szCs w:val="20"/>
              </w:rPr>
              <w:t xml:space="preserve">[8]</w:t>
            </w:r>
            <w:bookmarkEnd w:id="7220565815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Auch ein auf Lebensdauer eingeräumtes Wohnungsrecht kann aus
wichtigen Gründen durch einseitige, empfangsbedürftige
Willenserklärung gelöst werden (RIS-Justiz RS0011875). </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2818879" w:name="note9"/>
            <w:bookmarkEnd w:id="72818879"/>
            <w:bookmarkStart w:id="9702510164900" w:name="note9"/>
            <w:r>
              <w:rPr>
                <w:rFonts w:ascii="Arial" w:hAnsi="Arial" w:eastAsia="Arial" w:cs="Arial"/>
                <w:b/>
                <w:bCs/>
                <w:color w:val="000000"/>
                <w:position w:val="0"/>
                <w:sz w:val="20"/>
                <w:szCs w:val="20"/>
              </w:rPr>
              <w:t xml:space="preserve">[9]</w:t>
            </w:r>
            <w:bookmarkEnd w:id="970251016490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Dienstbarkeit des Wohnrechtes ist an sich ein dingliches
Recht, doch kann dieses Recht als so genannte unregelmäßige
Servitut auch obligatorisch eingeräumt werden. Auch dafür gilt der
höchstpersönliche Charakter insofern, als die Berechtigung
längstens für die Dauer des Lebens des Berechtigten eingeräumt
werden kann (RIS-Justiz RS0011840). </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1543659" w:name="note10"/>
            <w:bookmarkEnd w:id="31543659"/>
            <w:bookmarkStart w:id="4721384098069" w:name="note10"/>
            <w:r>
              <w:rPr>
                <w:rFonts w:ascii="Arial" w:hAnsi="Arial" w:eastAsia="Arial" w:cs="Arial"/>
                <w:b/>
                <w:bCs/>
                <w:color w:val="000000"/>
                <w:position w:val="0"/>
                <w:sz w:val="20"/>
                <w:szCs w:val="20"/>
              </w:rPr>
              <w:t xml:space="preserve">[10]</w:t>
            </w:r>
            <w:bookmarkEnd w:id="472138409806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Wohnungsrecht kann als höchstpersönliches Recht
grundsätzlich auf andere Personen nicht übertragen und auch der
Ausübung nach nicht anderen überlassen werden (RIS-Justiz
RS0011828). </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5695175" w:name="note11"/>
            <w:bookmarkEnd w:id="25695175"/>
            <w:bookmarkStart w:id="4233427164247" w:name="note11"/>
            <w:r>
              <w:rPr>
                <w:rFonts w:ascii="Arial" w:hAnsi="Arial" w:eastAsia="Arial" w:cs="Arial"/>
                <w:b/>
                <w:bCs/>
                <w:color w:val="000000"/>
                <w:position w:val="0"/>
                <w:sz w:val="20"/>
                <w:szCs w:val="20"/>
              </w:rPr>
              <w:t xml:space="preserve">[11]</w:t>
            </w:r>
            <w:bookmarkEnd w:id="423342716424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An ideellen Teilen der Liegenschaft kann weder ein
Wohnungsgebrauchsrecht noch ein Wohnungsfruchtgenuss begründet
werden (Ablehnung von NZ 1993,19) (RIS-Justiz RS0042550). </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271079">
    <w:multiLevelType w:val="hybridMultilevel"/>
    <w:lvl w:ilvl="0" w:tplc="19088113">
      <w:start w:val="1"/>
      <w:numFmt w:val="decimal"/>
      <w:lvlText w:val="%1."/>
      <w:lvlJc w:val="left"/>
      <w:pPr>
        <w:ind w:left="720" w:hanging="360"/>
      </w:pPr>
    </w:lvl>
    <w:lvl w:ilvl="1" w:tplc="19088113" w:tentative="1">
      <w:start w:val="1"/>
      <w:numFmt w:val="lowerLetter"/>
      <w:lvlText w:val="%2."/>
      <w:lvlJc w:val="left"/>
      <w:pPr>
        <w:ind w:left="1440" w:hanging="360"/>
      </w:pPr>
    </w:lvl>
    <w:lvl w:ilvl="2" w:tplc="19088113" w:tentative="1">
      <w:start w:val="1"/>
      <w:numFmt w:val="lowerRoman"/>
      <w:lvlText w:val="%3."/>
      <w:lvlJc w:val="right"/>
      <w:pPr>
        <w:ind w:left="2160" w:hanging="180"/>
      </w:pPr>
    </w:lvl>
    <w:lvl w:ilvl="3" w:tplc="19088113" w:tentative="1">
      <w:start w:val="1"/>
      <w:numFmt w:val="decimal"/>
      <w:lvlText w:val="%4."/>
      <w:lvlJc w:val="left"/>
      <w:pPr>
        <w:ind w:left="2880" w:hanging="360"/>
      </w:pPr>
    </w:lvl>
    <w:lvl w:ilvl="4" w:tplc="19088113" w:tentative="1">
      <w:start w:val="1"/>
      <w:numFmt w:val="lowerLetter"/>
      <w:lvlText w:val="%5."/>
      <w:lvlJc w:val="left"/>
      <w:pPr>
        <w:ind w:left="3600" w:hanging="360"/>
      </w:pPr>
    </w:lvl>
    <w:lvl w:ilvl="5" w:tplc="19088113" w:tentative="1">
      <w:start w:val="1"/>
      <w:numFmt w:val="lowerRoman"/>
      <w:lvlText w:val="%6."/>
      <w:lvlJc w:val="right"/>
      <w:pPr>
        <w:ind w:left="4320" w:hanging="180"/>
      </w:pPr>
    </w:lvl>
    <w:lvl w:ilvl="6" w:tplc="19088113" w:tentative="1">
      <w:start w:val="1"/>
      <w:numFmt w:val="decimal"/>
      <w:lvlText w:val="%7."/>
      <w:lvlJc w:val="left"/>
      <w:pPr>
        <w:ind w:left="5040" w:hanging="360"/>
      </w:pPr>
    </w:lvl>
    <w:lvl w:ilvl="7" w:tplc="19088113" w:tentative="1">
      <w:start w:val="1"/>
      <w:numFmt w:val="lowerLetter"/>
      <w:lvlText w:val="%8."/>
      <w:lvlJc w:val="left"/>
      <w:pPr>
        <w:ind w:left="5760" w:hanging="360"/>
      </w:pPr>
    </w:lvl>
    <w:lvl w:ilvl="8" w:tplc="19088113" w:tentative="1">
      <w:start w:val="1"/>
      <w:numFmt w:val="lowerRoman"/>
      <w:lvlText w:val="%9."/>
      <w:lvlJc w:val="right"/>
      <w:pPr>
        <w:ind w:left="6480" w:hanging="180"/>
      </w:pPr>
    </w:lvl>
  </w:abstractNum>
  <w:abstractNum w:abstractNumId="90271078">
    <w:multiLevelType w:val="hybridMultilevel"/>
    <w:lvl w:ilvl="0" w:tplc="411590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271078">
    <w:abstractNumId w:val="90271078"/>
  </w:num>
  <w:num w:numId="90271079">
    <w:abstractNumId w:val="902710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00344245" Type="http://schemas.openxmlformats.org/officeDocument/2006/relationships/numbering" Target="numbering.xml"/><Relationship Id="rId187709751"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