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13879724" w:name="document"/>
    <w:bookmarkEnd w:id="13879724"/>
    <w:p/>
    <w:p>
      <w:pPr>
        <w:widowControl w:val="on"/>
        <w:pBdr/>
        <w:spacing w:before="0" w:after="280" w:line="240" w:lineRule="auto"/>
        <w:ind w:left="0" w:right="0"/>
        <w:jc w:val="left"/>
      </w:pPr>
      <w:r>
        <w:rPr>
          <w:rFonts w:ascii="Arial" w:hAnsi="Arial" w:eastAsia="Arial" w:cs="Arial"/>
          <w:color w:val="363A40"/>
          <w:sz w:val="24"/>
          <w:szCs w:val="24"/>
        </w:rPr>
        <w:t xml:space="preserve">Dokument-ID: 1085121 | Gudrun Hasenauer |
Muster | Erklärung</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Verwaltungsvollmacht für Miethäuser</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Vollmacht,</w:t>
      </w:r>
    </w:p>
    <w:p>
      <w:pPr>
        <w:widowControl w:val="on"/>
        <w:pBdr/>
        <w:spacing w:before="140" w:after="240" w:line="288" w:lineRule="auto"/>
        <w:ind w:left="0" w:right="0"/>
        <w:jc w:val="left"/>
      </w:pPr>
      <w:r>
        <w:rPr>
          <w:rFonts w:ascii="Arial" w:hAnsi="Arial" w:eastAsia="Arial" w:cs="Arial"/>
          <w:color w:val="000000"/>
          <w:sz w:val="20"/>
          <w:szCs w:val="20"/>
        </w:rPr>
        <w:t xml:space="preserve">mit welcher die Eigentümer/die Mehrheit der Miteigentümer der
Liegenschaft im Namen aller Eigentümer der Liegenschaft</w:t>
      </w:r>
    </w:p>
    <w:p>
      <w:pPr>
        <w:widowControl w:val="on"/>
        <w:pBdr/>
        <w:spacing w:before="140" w:after="240" w:line="288" w:lineRule="auto"/>
        <w:ind w:left="0" w:right="0"/>
        <w:jc w:val="left"/>
      </w:pPr>
      <w:r>
        <w:rPr>
          <w:rFonts w:ascii="Arial" w:hAnsi="Arial" w:eastAsia="Arial" w:cs="Arial"/>
          <w:color w:val="000000"/>
          <w:sz w:val="20"/>
          <w:szCs w:val="20"/>
        </w:rPr>
        <w:t xml:space="preserve">Grundstücksadresse …</w:t>
      </w:r>
      <w:r>
        <w:rPr>
          <w:rFonts w:ascii="Arial" w:hAnsi="Arial" w:eastAsia="Arial" w:cs="Arial"/>
          <w:color w:val="000000"/>
          <w:sz w:val="20"/>
          <w:szCs w:val="20"/>
        </w:rPr>
        <w:br/>
        <w:t xml:space="preserve">Grundbuch … Einlagezahl …</w:t>
      </w:r>
      <w:r>
        <w:rPr>
          <w:rFonts w:ascii="Arial" w:hAnsi="Arial" w:eastAsia="Arial" w:cs="Arial"/>
          <w:color w:val="000000"/>
          <w:sz w:val="20"/>
          <w:szCs w:val="20"/>
        </w:rPr>
        <w:br/>
        <w:t xml:space="preserve">Eigentümer …</w:t>
      </w:r>
    </w:p>
    <w:p>
      <w:pPr>
        <w:widowControl w:val="on"/>
        <w:pBdr/>
        <w:spacing w:before="140" w:after="240" w:line="288" w:lineRule="auto"/>
        <w:ind w:left="0" w:right="0"/>
        <w:jc w:val="left"/>
      </w:pPr>
      <w:r>
        <w:rPr>
          <w:rFonts w:ascii="Arial" w:hAnsi="Arial" w:eastAsia="Arial" w:cs="Arial"/>
          <w:color w:val="000000"/>
          <w:sz w:val="20"/>
          <w:szCs w:val="20"/>
        </w:rPr>
        <w:t xml:space="preserve">folgende Verwaltung bestellt und bevollmächtigt:</w:t>
      </w:r>
    </w:p>
    <w:p>
      <w:pPr>
        <w:widowControl w:val="on"/>
        <w:pBdr/>
        <w:spacing w:before="140" w:after="240" w:line="288" w:lineRule="auto"/>
        <w:ind w:left="0" w:right="0"/>
        <w:jc w:val="left"/>
      </w:pPr>
      <w:r>
        <w:rPr>
          <w:rFonts w:ascii="Arial" w:hAnsi="Arial" w:eastAsia="Arial" w:cs="Arial"/>
          <w:b/>
          <w:bCs/>
          <w:color w:val="000000"/>
          <w:sz w:val="20"/>
          <w:szCs w:val="20"/>
        </w:rPr>
        <w:t xml:space="preserve">Die Immobilienverwaltung …</w:t>
      </w:r>
      <w:r>
        <w:rPr>
          <w:rFonts w:ascii="Arial" w:hAnsi="Arial" w:eastAsia="Arial" w:cs="Arial"/>
          <w:color w:val="000000"/>
          <w:sz w:val="20"/>
          <w:szCs w:val="20"/>
        </w:rPr>
        <w:br/>
        <w:t xml:space="preserve">Geschäftsführung: … Firmenbuchnummer: …</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Beginn der Vollmacht</w:t>
      </w:r>
    </w:p>
    <w:p>
      <w:pPr>
        <w:widowControl w:val="on"/>
        <w:pBdr/>
        <w:spacing w:before="140" w:after="240" w:line="288" w:lineRule="auto"/>
        <w:ind w:left="0" w:right="0"/>
        <w:jc w:val="left"/>
      </w:pPr>
      <w:r>
        <w:rPr>
          <w:rFonts w:ascii="Arial" w:hAnsi="Arial" w:eastAsia="Arial" w:cs="Arial"/>
          <w:color w:val="000000"/>
          <w:sz w:val="20"/>
          <w:szCs w:val="20"/>
        </w:rPr>
        <w:t xml:space="preserve">Diese Vollmacht gilt ab … und wird auf unbestimmte Zeit
abgeschlossen.</w:t>
      </w:r>
    </w:p>
    <w:p>
      <w:pPr>
        <w:widowControl w:val="on"/>
        <w:pBdr/>
        <w:spacing w:before="140" w:after="240" w:line="288" w:lineRule="auto"/>
        <w:ind w:left="0" w:right="0"/>
        <w:jc w:val="left"/>
      </w:pPr>
      <w:r>
        <w:rPr>
          <w:rFonts w:ascii="Arial" w:hAnsi="Arial" w:eastAsia="Arial" w:cs="Arial"/>
          <w:color w:val="000000"/>
          <w:sz w:val="20"/>
          <w:szCs w:val="20"/>
        </w:rPr>
        <w:t xml:space="preserve">Sie kann zum 31.12. jedes Jahres von beiden Seiten unter
Einhaltung einer dreimonatigen Kündigungsfrist schriftlich
gekündigt werden.</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Umfang der Vollmacht</w:t>
      </w:r>
    </w:p>
    <w:p>
      <w:pPr>
        <w:widowControl w:val="on"/>
        <w:pBdr/>
        <w:spacing w:before="140" w:after="240" w:line="288" w:lineRule="auto"/>
        <w:ind w:left="0" w:right="0"/>
        <w:jc w:val="left"/>
      </w:pPr>
      <w:r>
        <w:rPr>
          <w:rFonts w:ascii="Arial" w:hAnsi="Arial" w:eastAsia="Arial" w:cs="Arial"/>
          <w:color w:val="000000"/>
          <w:sz w:val="20"/>
          <w:szCs w:val="20"/>
        </w:rPr>
        <w:t xml:space="preserve">Ich (Wir) bevollmächtige(n) bzw bestelle(n) den
Immobilienverwalter</w:t>
      </w:r>
    </w:p>
    <w:p>
      <w:pPr>
        <w:numPr>
          <w:ilvl w:val="0"/>
          <w:numId w:val="68384317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mich (uns) in allen Angelegenheiten, welche die Verwaltung der
Liegenschaft mit sich bringt, zu vertreten, insbesondere vor
Behörden (Gerichten, Baubehörden, Finanzbehörden,
Schlichtungsstellen usw);</w:t>
      </w:r>
    </w:p>
    <w:p>
      <w:pPr>
        <w:numPr>
          <w:ilvl w:val="0"/>
          <w:numId w:val="68384317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für mich (uns) Geld- oder Geldwerte, einschließlich der mit der
Liegenschaft in Zusammenhang stehenden Steuerguthaben jedweder Art,
in Empfang zu nehmen und darüber rechtswirksam zu quittieren;</w:t>
      </w:r>
    </w:p>
    <w:p>
      <w:pPr>
        <w:numPr>
          <w:ilvl w:val="0"/>
          <w:numId w:val="68384317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statt Abschluss und zur Auflösung aller die Liegenschaft
betreffenden Verträge, insbesondere zum Abschluss/zur Auflösung von
Mietverträgen, Dienstverträgen, Werkverträgen,
Versicherungsverträgen etc;</w:t>
      </w:r>
    </w:p>
    <w:p>
      <w:pPr>
        <w:numPr>
          <w:ilvl w:val="0"/>
          <w:numId w:val="68384317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zum Zustellbevollmächtigten, insbesondere von Schriftstücken
der Behörden in vorgenanntem weiterem Sinn;</w:t>
      </w:r>
    </w:p>
    <w:p>
      <w:pPr>
        <w:numPr>
          <w:ilvl w:val="0"/>
          <w:numId w:val="68384317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zum Machthaber iSd § 1008 ABGB für alle mit der
Liegenschaft verbundenen Geschäfte, wie die Aufnahme/Rückzahlung
von Darlehen und Krediten, den Abschluss von Vergleichen vor
Gericht, und darüber hinaus zur Vertretung vor Ämtern und Behörden
(zB Finanzamt, Baubehörden, Schlichtungsstelle) jeder Art,
insbesondere in meiner (unserer) Eigenschaft als Partei oder
sonstiger Beteiligter;</w:t>
      </w:r>
    </w:p>
    <w:p>
      <w:pPr>
        <w:numPr>
          <w:ilvl w:val="0"/>
          <w:numId w:val="68384317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zum Machthaber im Umfang einer Prozessvollmacht iSd § 31
ZPO.</w:t>
      </w:r>
    </w:p>
    <w:p>
      <w:pPr>
        <w:widowControl w:val="on"/>
        <w:pBdr/>
        <w:spacing w:before="140" w:after="240" w:line="288" w:lineRule="auto"/>
        <w:ind w:left="0" w:right="0"/>
        <w:jc w:val="left"/>
      </w:pPr>
      <w:r>
        <w:rPr>
          <w:rFonts w:ascii="Arial" w:hAnsi="Arial" w:eastAsia="Arial" w:cs="Arial"/>
          <w:color w:val="000000"/>
          <w:sz w:val="20"/>
          <w:szCs w:val="20"/>
        </w:rPr>
        <w:t xml:space="preserve">Der Vollmachtnehmer ist berechtigt, seinerseits entweder
unmittelbar für mich (uns) oder für sich, insbesondere für alle
behördlichen Verfahren, einen Vertreter zu bestellen.</w:t>
      </w:r>
    </w:p>
    <w:p>
      <w:pPr>
        <w:widowControl w:val="on"/>
        <w:pBdr/>
        <w:spacing w:before="140" w:after="240" w:line="288" w:lineRule="auto"/>
        <w:ind w:left="0" w:right="0"/>
        <w:jc w:val="left"/>
      </w:pPr>
      <w:r>
        <w:rPr>
          <w:rFonts w:ascii="Arial" w:hAnsi="Arial" w:eastAsia="Arial" w:cs="Arial"/>
          <w:color w:val="000000"/>
          <w:sz w:val="20"/>
          <w:szCs w:val="20"/>
        </w:rPr>
        <w:t xml:space="preserve">…, am …</w:t>
      </w:r>
      <w:r>
        <w:rPr>
          <w:rFonts w:ascii="Arial" w:hAnsi="Arial" w:eastAsia="Arial" w:cs="Arial"/>
          <w:color w:val="000000"/>
          <w:sz w:val="20"/>
          <w:szCs w:val="20"/>
        </w:rPr>
        <w:br/>
        <w:t xml:space="preserve">…</w:t>
      </w:r>
      <w:r>
        <w:rPr>
          <w:rFonts w:ascii="Arial" w:hAnsi="Arial" w:eastAsia="Arial" w:cs="Arial"/>
          <w:color w:val="000000"/>
          <w:sz w:val="20"/>
          <w:szCs w:val="20"/>
        </w:rPr>
        <w:br/>
        <w:t xml:space="preserve">[Unterschrift des Liegenschaftseigentümers/der
Liegenschaftseigentümer]</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color w:val="000000"/>
          <w:sz w:val="20"/>
          <w:szCs w:val="20"/>
        </w:rPr>
        <w:t xml:space="preserve">Ist eine Einschränkung der Vollmacht gewünscht, sind nicht
gewünschte Aktivitäten des Gewaltnehmers wegzulassen bzw zu
streichen.</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Mögliche Einschränkungen der Vollmacht</w:t>
      </w:r>
    </w:p>
    <w:p>
      <w:pPr>
        <w:numPr>
          <w:ilvl w:val="0"/>
          <w:numId w:val="31085323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Keine Kündigungsbedingungen bezüglich Vollmacht, dies bedeutet,
dass die Vollmacht jederzeit widerrufen werden kann.</w:t>
      </w:r>
    </w:p>
    <w:p>
      <w:pPr>
        <w:numPr>
          <w:ilvl w:val="0"/>
          <w:numId w:val="31085323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Keine Durchführung von Erhaltungs- und Verbesserungsarbeiten ab
einer bestimmten Auftragssumme</w:t>
      </w:r>
    </w:p>
    <w:p>
      <w:pPr>
        <w:numPr>
          <w:ilvl w:val="0"/>
          <w:numId w:val="31085323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Kein Abschluss von Kreditverträgen ohne ausdrücklichen,
gesonderten Auftrag</w:t>
      </w:r>
    </w:p>
    <w:p>
      <w:pPr>
        <w:numPr>
          <w:ilvl w:val="0"/>
          <w:numId w:val="31085323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Kein Abschluss von Versicherungsverträgen ohne ausdrücklichen,
gesonderten Auftrag</w:t>
      </w:r>
    </w:p>
    <w:p>
      <w:pPr>
        <w:numPr>
          <w:ilvl w:val="0"/>
          <w:numId w:val="31085323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Kein Abschluss von Mietverträgen</w:t>
      </w:r>
    </w:p>
    <w:p>
      <w:pPr>
        <w:numPr>
          <w:ilvl w:val="0"/>
          <w:numId w:val="31085323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Ausschluss des Rechts auf Rückforderung von Steuerguthaben</w:t>
      </w:r>
    </w:p>
    <w:p>
      <w:pPr>
        <w:numPr>
          <w:ilvl w:val="0"/>
          <w:numId w:val="31085323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Ausschluss der Prozessvollmacht iSd § 31 ZPO</w:t>
      </w:r>
    </w:p>
    <w:p>
      <w:pPr>
        <w:widowControl w:val="on"/>
        <w:pBdr/>
        <w:spacing w:before="140" w:after="240" w:line="288" w:lineRule="auto"/>
        <w:ind w:left="0" w:right="0"/>
        <w:jc w:val="left"/>
      </w:pPr>
      <w:r>
        <w:rPr>
          <w:rFonts w:ascii="Arial" w:hAnsi="Arial" w:eastAsia="Arial" w:cs="Arial"/>
          <w:color w:val="000000"/>
          <w:sz w:val="20"/>
          <w:szCs w:val="20"/>
        </w:rPr>
        <w:t xml:space="preserve">Wird der Verwalter auch verpflichtet, </w:t>
      </w:r>
      <w:r>
        <w:rPr>
          <w:rFonts w:ascii="Arial" w:hAnsi="Arial" w:eastAsia="Arial" w:cs="Arial"/>
          <w:b/>
          <w:bCs/>
          <w:color w:val="000000"/>
          <w:sz w:val="20"/>
          <w:szCs w:val="20"/>
        </w:rPr>
        <w:t xml:space="preserve">außerordentliche
Verwaltungstätigkeite</w:t>
      </w:r>
      <w:r>
        <w:rPr>
          <w:rFonts w:ascii="Arial" w:hAnsi="Arial" w:eastAsia="Arial" w:cs="Arial"/>
          <w:color w:val="000000"/>
          <w:sz w:val="20"/>
          <w:szCs w:val="20"/>
        </w:rPr>
        <w:t xml:space="preserve">n (die nicht zum üblichen Geschäft
gehören) zu erledigen, muss er dazu ausdrücklich bevollmächtigt
werden.</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Möglichkeiten zur Erweiterung der Vollmacht</w:t>
      </w:r>
    </w:p>
    <w:p>
      <w:pPr>
        <w:numPr>
          <w:ilvl w:val="0"/>
          <w:numId w:val="56617404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Vertretung in baubehördlichen Verfahren (besondere Vollmacht
nötig)</w:t>
      </w:r>
    </w:p>
    <w:p>
      <w:pPr>
        <w:numPr>
          <w:ilvl w:val="0"/>
          <w:numId w:val="56617404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Durchführen von baulichen Verbesserungen nach Rücksprache mit
den Eigentümern (mit oder ohne Festlegung einer maximalen
Auftragssumme)</w:t>
      </w:r>
    </w:p>
    <w:p>
      <w:pPr>
        <w:numPr>
          <w:ilvl w:val="0"/>
          <w:numId w:val="56617404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Aufnahme von Krediten und Darlehen für Verbesserungsmaßnahmen
(bis zu einer festgelegten Auftragssumme)</w:t>
      </w:r>
    </w:p>
    <w:p>
      <w:pPr>
        <w:numPr>
          <w:ilvl w:val="0"/>
          <w:numId w:val="56617404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Durchführung von § 18 Mietzinsanhebungsverfahren und
Stellung von Förderungsanträgen in diesem Zusammenhang</w:t>
      </w:r>
    </w:p>
    <w:p>
      <w:pPr>
        <w:numPr>
          <w:ilvl w:val="0"/>
          <w:numId w:val="56617404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Stellung von Anträgen und Förderungsansuchen im Zusammenhang
mit der Umstellung auf effizientere und umweltfreundlichere Heiz-
und Kühlsysteme</w:t>
      </w:r>
    </w:p>
    <w:p>
      <w:pPr>
        <w:numPr>
          <w:ilvl w:val="0"/>
          <w:numId w:val="56617404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Setzen von Handlungen im Zusammenhang mit der Begründung von
Wohnungseigentum</w:t>
      </w:r>
    </w:p>
    <w:p>
      <w:pPr>
        <w:numPr>
          <w:ilvl w:val="0"/>
          <w:numId w:val="56617404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Neue Grünflächengestaltung</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Prozessvollmacht</w:t>
      </w:r>
    </w:p>
    <w:p>
      <w:pPr>
        <w:widowControl w:val="on"/>
        <w:pBdr/>
        <w:spacing w:before="140" w:after="240" w:line="288" w:lineRule="auto"/>
        <w:ind w:left="0" w:right="0"/>
        <w:jc w:val="left"/>
      </w:pPr>
      <w:r>
        <w:rPr>
          <w:rFonts w:ascii="Arial" w:hAnsi="Arial" w:eastAsia="Arial" w:cs="Arial"/>
          <w:color w:val="000000"/>
          <w:sz w:val="20"/>
          <w:szCs w:val="20"/>
        </w:rPr>
        <w:t xml:space="preserve">Die Prozessvollmacht iSd § 31 ZPO ist im Außenverhältnis
unbeschränkbar und berechtigt zu nachstehenden Handlungen:</w:t>
      </w:r>
    </w:p>
    <w:p>
      <w:pPr>
        <w:numPr>
          <w:ilvl w:val="0"/>
          <w:numId w:val="10539803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Einbringung und Empfangnahme der Klage</w:t>
      </w:r>
    </w:p>
    <w:p>
      <w:pPr>
        <w:numPr>
          <w:ilvl w:val="0"/>
          <w:numId w:val="10539803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Setzen von allen, den jeweiligen Rechtsstreit betreffenden
Prozesshandlungen</w:t>
      </w:r>
    </w:p>
    <w:p>
      <w:pPr>
        <w:numPr>
          <w:ilvl w:val="0"/>
          <w:numId w:val="10539803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Abschluss von Vergleichen, Anerkenntnissen sowie
Verzichtsleistungen</w:t>
      </w:r>
    </w:p>
    <w:p>
      <w:pPr>
        <w:numPr>
          <w:ilvl w:val="0"/>
          <w:numId w:val="10539803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Vornahme aller nötigen Handlungen des Bevollmächtigten im
Exekutionsverfahren</w:t>
      </w:r>
    </w:p>
    <w:p>
      <w:pPr>
        <w:numPr>
          <w:ilvl w:val="0"/>
          <w:numId w:val="10539803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Weitergabe der Vollmacht (Substitution)</w:t>
      </w:r>
    </w:p>
    <w:p>
      <w:pPr>
        <w:widowControl w:val="on"/>
        <w:pBdr/>
        <w:spacing w:before="140" w:after="240" w:line="288" w:lineRule="auto"/>
        <w:ind w:left="0" w:right="0"/>
        <w:jc w:val="left"/>
      </w:pPr>
      <w:r>
        <w:rPr>
          <w:rFonts w:ascii="Arial" w:hAnsi="Arial" w:eastAsia="Arial" w:cs="Arial"/>
          <w:color w:val="000000"/>
          <w:sz w:val="20"/>
          <w:szCs w:val="20"/>
        </w:rPr>
        <w:t xml:space="preserve">Seit 01.01.2002 ist die Vollmacht gebührenfrei.</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5398032">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566174048">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310853235">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683843173">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99643333">
    <w:multiLevelType w:val="hybridMultilevel"/>
    <w:lvl w:ilvl="0" w:tplc="51923404">
      <w:start w:val="1"/>
      <w:numFmt w:val="decimal"/>
      <w:lvlText w:val="%1."/>
      <w:lvlJc w:val="left"/>
      <w:pPr>
        <w:ind w:left="720" w:hanging="360"/>
      </w:pPr>
    </w:lvl>
    <w:lvl w:ilvl="1" w:tplc="51923404" w:tentative="1">
      <w:start w:val="1"/>
      <w:numFmt w:val="lowerLetter"/>
      <w:lvlText w:val="%2."/>
      <w:lvlJc w:val="left"/>
      <w:pPr>
        <w:ind w:left="1440" w:hanging="360"/>
      </w:pPr>
    </w:lvl>
    <w:lvl w:ilvl="2" w:tplc="51923404" w:tentative="1">
      <w:start w:val="1"/>
      <w:numFmt w:val="lowerRoman"/>
      <w:lvlText w:val="%3."/>
      <w:lvlJc w:val="right"/>
      <w:pPr>
        <w:ind w:left="2160" w:hanging="180"/>
      </w:pPr>
    </w:lvl>
    <w:lvl w:ilvl="3" w:tplc="51923404" w:tentative="1">
      <w:start w:val="1"/>
      <w:numFmt w:val="decimal"/>
      <w:lvlText w:val="%4."/>
      <w:lvlJc w:val="left"/>
      <w:pPr>
        <w:ind w:left="2880" w:hanging="360"/>
      </w:pPr>
    </w:lvl>
    <w:lvl w:ilvl="4" w:tplc="51923404" w:tentative="1">
      <w:start w:val="1"/>
      <w:numFmt w:val="lowerLetter"/>
      <w:lvlText w:val="%5."/>
      <w:lvlJc w:val="left"/>
      <w:pPr>
        <w:ind w:left="3600" w:hanging="360"/>
      </w:pPr>
    </w:lvl>
    <w:lvl w:ilvl="5" w:tplc="51923404" w:tentative="1">
      <w:start w:val="1"/>
      <w:numFmt w:val="lowerRoman"/>
      <w:lvlText w:val="%6."/>
      <w:lvlJc w:val="right"/>
      <w:pPr>
        <w:ind w:left="4320" w:hanging="180"/>
      </w:pPr>
    </w:lvl>
    <w:lvl w:ilvl="6" w:tplc="51923404" w:tentative="1">
      <w:start w:val="1"/>
      <w:numFmt w:val="decimal"/>
      <w:lvlText w:val="%7."/>
      <w:lvlJc w:val="left"/>
      <w:pPr>
        <w:ind w:left="5040" w:hanging="360"/>
      </w:pPr>
    </w:lvl>
    <w:lvl w:ilvl="7" w:tplc="51923404" w:tentative="1">
      <w:start w:val="1"/>
      <w:numFmt w:val="lowerLetter"/>
      <w:lvlText w:val="%8."/>
      <w:lvlJc w:val="left"/>
      <w:pPr>
        <w:ind w:left="5760" w:hanging="360"/>
      </w:pPr>
    </w:lvl>
    <w:lvl w:ilvl="8" w:tplc="51923404" w:tentative="1">
      <w:start w:val="1"/>
      <w:numFmt w:val="lowerRoman"/>
      <w:lvlText w:val="%9."/>
      <w:lvlJc w:val="right"/>
      <w:pPr>
        <w:ind w:left="6480" w:hanging="180"/>
      </w:pPr>
    </w:lvl>
  </w:abstractNum>
  <w:abstractNum w:abstractNumId="99643332">
    <w:multiLevelType w:val="hybridMultilevel"/>
    <w:lvl w:ilvl="0" w:tplc="88999698">
      <w:start w:val="1"/>
      <w:numFmt w:val="decimal"/>
      <w:lvlText w:val="%1."/>
      <w:lvlJc w:val="left"/>
      <w:pPr>
        <w:ind w:left="720" w:hanging="360"/>
      </w:pPr>
    </w:lvl>
    <w:lvl w:ilvl="1" w:tplc="88999698" w:tentative="1">
      <w:start w:val="1"/>
      <w:numFmt w:val="lowerLetter"/>
      <w:lvlText w:val="%2."/>
      <w:lvlJc w:val="left"/>
      <w:pPr>
        <w:ind w:left="1440" w:hanging="360"/>
      </w:pPr>
    </w:lvl>
    <w:lvl w:ilvl="2" w:tplc="88999698" w:tentative="1">
      <w:start w:val="1"/>
      <w:numFmt w:val="lowerRoman"/>
      <w:lvlText w:val="%3."/>
      <w:lvlJc w:val="right"/>
      <w:pPr>
        <w:ind w:left="2160" w:hanging="180"/>
      </w:pPr>
    </w:lvl>
    <w:lvl w:ilvl="3" w:tplc="88999698" w:tentative="1">
      <w:start w:val="1"/>
      <w:numFmt w:val="decimal"/>
      <w:lvlText w:val="%4."/>
      <w:lvlJc w:val="left"/>
      <w:pPr>
        <w:ind w:left="2880" w:hanging="360"/>
      </w:pPr>
    </w:lvl>
    <w:lvl w:ilvl="4" w:tplc="88999698" w:tentative="1">
      <w:start w:val="1"/>
      <w:numFmt w:val="lowerLetter"/>
      <w:lvlText w:val="%5."/>
      <w:lvlJc w:val="left"/>
      <w:pPr>
        <w:ind w:left="3600" w:hanging="360"/>
      </w:pPr>
    </w:lvl>
    <w:lvl w:ilvl="5" w:tplc="88999698" w:tentative="1">
      <w:start w:val="1"/>
      <w:numFmt w:val="lowerRoman"/>
      <w:lvlText w:val="%6."/>
      <w:lvlJc w:val="right"/>
      <w:pPr>
        <w:ind w:left="4320" w:hanging="180"/>
      </w:pPr>
    </w:lvl>
    <w:lvl w:ilvl="6" w:tplc="88999698" w:tentative="1">
      <w:start w:val="1"/>
      <w:numFmt w:val="decimal"/>
      <w:lvlText w:val="%7."/>
      <w:lvlJc w:val="left"/>
      <w:pPr>
        <w:ind w:left="5040" w:hanging="360"/>
      </w:pPr>
    </w:lvl>
    <w:lvl w:ilvl="7" w:tplc="88999698" w:tentative="1">
      <w:start w:val="1"/>
      <w:numFmt w:val="lowerLetter"/>
      <w:lvlText w:val="%8."/>
      <w:lvlJc w:val="left"/>
      <w:pPr>
        <w:ind w:left="5760" w:hanging="360"/>
      </w:pPr>
    </w:lvl>
    <w:lvl w:ilvl="8" w:tplc="88999698" w:tentative="1">
      <w:start w:val="1"/>
      <w:numFmt w:val="lowerRoman"/>
      <w:lvlText w:val="%9."/>
      <w:lvlJc w:val="right"/>
      <w:pPr>
        <w:ind w:left="6480" w:hanging="180"/>
      </w:pPr>
    </w:lvl>
  </w:abstractNum>
  <w:abstractNum w:abstractNumId="99643331">
    <w:multiLevelType w:val="hybridMultilevel"/>
    <w:lvl w:ilvl="0" w:tplc="83272006">
      <w:start w:val="1"/>
      <w:numFmt w:val="decimal"/>
      <w:lvlText w:val="%1."/>
      <w:lvlJc w:val="left"/>
      <w:pPr>
        <w:ind w:left="720" w:hanging="360"/>
      </w:pPr>
    </w:lvl>
    <w:lvl w:ilvl="1" w:tplc="83272006" w:tentative="1">
      <w:start w:val="1"/>
      <w:numFmt w:val="lowerLetter"/>
      <w:lvlText w:val="%2."/>
      <w:lvlJc w:val="left"/>
      <w:pPr>
        <w:ind w:left="1440" w:hanging="360"/>
      </w:pPr>
    </w:lvl>
    <w:lvl w:ilvl="2" w:tplc="83272006" w:tentative="1">
      <w:start w:val="1"/>
      <w:numFmt w:val="lowerRoman"/>
      <w:lvlText w:val="%3."/>
      <w:lvlJc w:val="right"/>
      <w:pPr>
        <w:ind w:left="2160" w:hanging="180"/>
      </w:pPr>
    </w:lvl>
    <w:lvl w:ilvl="3" w:tplc="83272006" w:tentative="1">
      <w:start w:val="1"/>
      <w:numFmt w:val="decimal"/>
      <w:lvlText w:val="%4."/>
      <w:lvlJc w:val="left"/>
      <w:pPr>
        <w:ind w:left="2880" w:hanging="360"/>
      </w:pPr>
    </w:lvl>
    <w:lvl w:ilvl="4" w:tplc="83272006" w:tentative="1">
      <w:start w:val="1"/>
      <w:numFmt w:val="lowerLetter"/>
      <w:lvlText w:val="%5."/>
      <w:lvlJc w:val="left"/>
      <w:pPr>
        <w:ind w:left="3600" w:hanging="360"/>
      </w:pPr>
    </w:lvl>
    <w:lvl w:ilvl="5" w:tplc="83272006" w:tentative="1">
      <w:start w:val="1"/>
      <w:numFmt w:val="lowerRoman"/>
      <w:lvlText w:val="%6."/>
      <w:lvlJc w:val="right"/>
      <w:pPr>
        <w:ind w:left="4320" w:hanging="180"/>
      </w:pPr>
    </w:lvl>
    <w:lvl w:ilvl="6" w:tplc="83272006" w:tentative="1">
      <w:start w:val="1"/>
      <w:numFmt w:val="decimal"/>
      <w:lvlText w:val="%7."/>
      <w:lvlJc w:val="left"/>
      <w:pPr>
        <w:ind w:left="5040" w:hanging="360"/>
      </w:pPr>
    </w:lvl>
    <w:lvl w:ilvl="7" w:tplc="83272006" w:tentative="1">
      <w:start w:val="1"/>
      <w:numFmt w:val="lowerLetter"/>
      <w:lvlText w:val="%8."/>
      <w:lvlJc w:val="left"/>
      <w:pPr>
        <w:ind w:left="5760" w:hanging="360"/>
      </w:pPr>
    </w:lvl>
    <w:lvl w:ilvl="8" w:tplc="83272006" w:tentative="1">
      <w:start w:val="1"/>
      <w:numFmt w:val="lowerRoman"/>
      <w:lvlText w:val="%9."/>
      <w:lvlJc w:val="right"/>
      <w:pPr>
        <w:ind w:left="6480" w:hanging="180"/>
      </w:pPr>
    </w:lvl>
  </w:abstractNum>
  <w:abstractNum w:abstractNumId="99643330">
    <w:multiLevelType w:val="hybridMultilevel"/>
    <w:lvl w:ilvl="0" w:tplc="85356223">
      <w:start w:val="1"/>
      <w:numFmt w:val="decimal"/>
      <w:lvlText w:val="%1."/>
      <w:lvlJc w:val="left"/>
      <w:pPr>
        <w:ind w:left="720" w:hanging="360"/>
      </w:pPr>
    </w:lvl>
    <w:lvl w:ilvl="1" w:tplc="85356223" w:tentative="1">
      <w:start w:val="1"/>
      <w:numFmt w:val="lowerLetter"/>
      <w:lvlText w:val="%2."/>
      <w:lvlJc w:val="left"/>
      <w:pPr>
        <w:ind w:left="1440" w:hanging="360"/>
      </w:pPr>
    </w:lvl>
    <w:lvl w:ilvl="2" w:tplc="85356223" w:tentative="1">
      <w:start w:val="1"/>
      <w:numFmt w:val="lowerRoman"/>
      <w:lvlText w:val="%3."/>
      <w:lvlJc w:val="right"/>
      <w:pPr>
        <w:ind w:left="2160" w:hanging="180"/>
      </w:pPr>
    </w:lvl>
    <w:lvl w:ilvl="3" w:tplc="85356223" w:tentative="1">
      <w:start w:val="1"/>
      <w:numFmt w:val="decimal"/>
      <w:lvlText w:val="%4."/>
      <w:lvlJc w:val="left"/>
      <w:pPr>
        <w:ind w:left="2880" w:hanging="360"/>
      </w:pPr>
    </w:lvl>
    <w:lvl w:ilvl="4" w:tplc="85356223" w:tentative="1">
      <w:start w:val="1"/>
      <w:numFmt w:val="lowerLetter"/>
      <w:lvlText w:val="%5."/>
      <w:lvlJc w:val="left"/>
      <w:pPr>
        <w:ind w:left="3600" w:hanging="360"/>
      </w:pPr>
    </w:lvl>
    <w:lvl w:ilvl="5" w:tplc="85356223" w:tentative="1">
      <w:start w:val="1"/>
      <w:numFmt w:val="lowerRoman"/>
      <w:lvlText w:val="%6."/>
      <w:lvlJc w:val="right"/>
      <w:pPr>
        <w:ind w:left="4320" w:hanging="180"/>
      </w:pPr>
    </w:lvl>
    <w:lvl w:ilvl="6" w:tplc="85356223" w:tentative="1">
      <w:start w:val="1"/>
      <w:numFmt w:val="decimal"/>
      <w:lvlText w:val="%7."/>
      <w:lvlJc w:val="left"/>
      <w:pPr>
        <w:ind w:left="5040" w:hanging="360"/>
      </w:pPr>
    </w:lvl>
    <w:lvl w:ilvl="7" w:tplc="85356223" w:tentative="1">
      <w:start w:val="1"/>
      <w:numFmt w:val="lowerLetter"/>
      <w:lvlText w:val="%8."/>
      <w:lvlJc w:val="left"/>
      <w:pPr>
        <w:ind w:left="5760" w:hanging="360"/>
      </w:pPr>
    </w:lvl>
    <w:lvl w:ilvl="8" w:tplc="85356223" w:tentative="1">
      <w:start w:val="1"/>
      <w:numFmt w:val="lowerRoman"/>
      <w:lvlText w:val="%9."/>
      <w:lvlJc w:val="right"/>
      <w:pPr>
        <w:ind w:left="6480" w:hanging="180"/>
      </w:pPr>
    </w:lvl>
  </w:abstractNum>
  <w:abstractNum w:abstractNumId="497402419">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99643329">
    <w:multiLevelType w:val="hybridMultilevel"/>
    <w:lvl w:ilvl="0" w:tplc="73496409">
      <w:start w:val="1"/>
      <w:numFmt w:val="decimal"/>
      <w:lvlText w:val="%1."/>
      <w:lvlJc w:val="left"/>
      <w:pPr>
        <w:ind w:left="720" w:hanging="360"/>
      </w:pPr>
    </w:lvl>
    <w:lvl w:ilvl="1" w:tplc="73496409" w:tentative="1">
      <w:start w:val="1"/>
      <w:numFmt w:val="lowerLetter"/>
      <w:lvlText w:val="%2."/>
      <w:lvlJc w:val="left"/>
      <w:pPr>
        <w:ind w:left="1440" w:hanging="360"/>
      </w:pPr>
    </w:lvl>
    <w:lvl w:ilvl="2" w:tplc="73496409" w:tentative="1">
      <w:start w:val="1"/>
      <w:numFmt w:val="lowerRoman"/>
      <w:lvlText w:val="%3."/>
      <w:lvlJc w:val="right"/>
      <w:pPr>
        <w:ind w:left="2160" w:hanging="180"/>
      </w:pPr>
    </w:lvl>
    <w:lvl w:ilvl="3" w:tplc="73496409" w:tentative="1">
      <w:start w:val="1"/>
      <w:numFmt w:val="decimal"/>
      <w:lvlText w:val="%4."/>
      <w:lvlJc w:val="left"/>
      <w:pPr>
        <w:ind w:left="2880" w:hanging="360"/>
      </w:pPr>
    </w:lvl>
    <w:lvl w:ilvl="4" w:tplc="73496409" w:tentative="1">
      <w:start w:val="1"/>
      <w:numFmt w:val="lowerLetter"/>
      <w:lvlText w:val="%5."/>
      <w:lvlJc w:val="left"/>
      <w:pPr>
        <w:ind w:left="3600" w:hanging="360"/>
      </w:pPr>
    </w:lvl>
    <w:lvl w:ilvl="5" w:tplc="73496409" w:tentative="1">
      <w:start w:val="1"/>
      <w:numFmt w:val="lowerRoman"/>
      <w:lvlText w:val="%6."/>
      <w:lvlJc w:val="right"/>
      <w:pPr>
        <w:ind w:left="4320" w:hanging="180"/>
      </w:pPr>
    </w:lvl>
    <w:lvl w:ilvl="6" w:tplc="73496409" w:tentative="1">
      <w:start w:val="1"/>
      <w:numFmt w:val="decimal"/>
      <w:lvlText w:val="%7."/>
      <w:lvlJc w:val="left"/>
      <w:pPr>
        <w:ind w:left="5040" w:hanging="360"/>
      </w:pPr>
    </w:lvl>
    <w:lvl w:ilvl="7" w:tplc="73496409" w:tentative="1">
      <w:start w:val="1"/>
      <w:numFmt w:val="lowerLetter"/>
      <w:lvlText w:val="%8."/>
      <w:lvlJc w:val="left"/>
      <w:pPr>
        <w:ind w:left="5760" w:hanging="360"/>
      </w:pPr>
    </w:lvl>
    <w:lvl w:ilvl="8" w:tplc="73496409" w:tentative="1">
      <w:start w:val="1"/>
      <w:numFmt w:val="lowerRoman"/>
      <w:lvlText w:val="%9."/>
      <w:lvlJc w:val="right"/>
      <w:pPr>
        <w:ind w:left="6480" w:hanging="180"/>
      </w:pPr>
    </w:lvl>
  </w:abstractNum>
  <w:abstractNum w:abstractNumId="99643328">
    <w:multiLevelType w:val="hybridMultilevel"/>
    <w:lvl w:ilvl="0" w:tplc="479034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643328">
    <w:abstractNumId w:val="99643328"/>
  </w:num>
  <w:num w:numId="99643329">
    <w:abstractNumId w:val="99643329"/>
  </w:num>
  <w:num w:numId="497402419">
    <w:abstractNumId w:val="497402419"/>
  </w:num>
  <w:num w:numId="99643330">
    <w:abstractNumId w:val="99643330"/>
  </w:num>
  <w:num w:numId="99643331">
    <w:abstractNumId w:val="99643331"/>
  </w:num>
  <w:num w:numId="99643332">
    <w:abstractNumId w:val="99643332"/>
  </w:num>
  <w:num w:numId="99643333">
    <w:abstractNumId w:val="99643333"/>
  </w:num>
  <w:num w:numId="683843173">
    <w:abstractNumId w:val="683843173"/>
  </w:num>
  <w:num w:numId="310853235">
    <w:abstractNumId w:val="310853235"/>
  </w:num>
  <w:num w:numId="566174048">
    <w:abstractNumId w:val="566174048"/>
  </w:num>
  <w:num w:numId="105398032">
    <w:abstractNumId w:val="1053980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963104250" Type="http://schemas.openxmlformats.org/officeDocument/2006/relationships/numbering" Target="numbering.xml"/><Relationship Id="rId587525225"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