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682820" w:name="document"/>
    <w:bookmarkEnd w:id="41682820"/>
    <w:p/>
    <w:p>
      <w:pPr>
        <w:widowControl w:val="on"/>
        <w:pBdr/>
        <w:spacing w:before="0" w:after="280" w:line="240" w:lineRule="auto"/>
        <w:ind w:left="0" w:right="0"/>
        <w:jc w:val="left"/>
      </w:pPr>
      <w:r>
        <w:rPr>
          <w:rFonts w:ascii="Arial" w:hAnsi="Arial" w:eastAsia="Arial" w:cs="Arial"/>
          <w:color w:val="363A40"/>
          <w:sz w:val="24"/>
          <w:szCs w:val="24"/>
        </w:rPr>
        <w:t xml:space="preserve">Dokument-ID: 972540 | Albert Scherzer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Zahlungsgarantie</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gegenständliche Muster zeigt das Beispiel einer
Zahlungsgarantie. Sie dient in erster Linie dem Verkäufer zur
Sicherheit, dass er den Kaufpreis erhält.</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Zahlungsgarantie</w:t>
      </w:r>
    </w:p>
    <w:p>
      <w:pPr>
        <w:widowControl w:val="on"/>
        <w:pBdr/>
        <w:spacing w:before="140" w:after="240" w:line="288" w:lineRule="auto"/>
        <w:ind w:left="0" w:right="0"/>
        <w:jc w:val="left"/>
      </w:pPr>
      <w:r>
        <w:rPr>
          <w:rFonts w:ascii="Arial" w:hAnsi="Arial" w:eastAsia="Arial" w:cs="Arial"/>
          <w:color w:val="000000"/>
          <w:sz w:val="20"/>
          <w:szCs w:val="20"/>
        </w:rPr>
        <w:t xml:space="preserve">Die … [genaue Firmenbezeichnung des Käufers], FN …, mit dem Sitz
in … [Ort], hat mit Ihnen einen Vertrag über die Lieferung von …
abgeschlossen.</w:t>
      </w:r>
    </w:p>
    <w:p>
      <w:pPr>
        <w:widowControl w:val="on"/>
        <w:pBdr/>
        <w:spacing w:before="140" w:after="240" w:line="288" w:lineRule="auto"/>
        <w:ind w:left="0" w:right="0"/>
        <w:jc w:val="left"/>
      </w:pPr>
      <w:r>
        <w:rPr>
          <w:rFonts w:ascii="Arial" w:hAnsi="Arial" w:eastAsia="Arial" w:cs="Arial"/>
          <w:color w:val="000000"/>
          <w:sz w:val="20"/>
          <w:szCs w:val="20"/>
        </w:rPr>
        <w:t xml:space="preserve">Zur Sicherstellung der ordnungsgemäßen Bezahlung der auf
Grundlage dieses Vertrags gelieferten und fälligen Waren übernimmt
die X Internationale Bank Aktiengesellschaft hiermit Ihnen
gegenüber eine unwiderrufliche und abstrakte Zahlungsgarantie bis
zum Höchstbetrag von EUR … (in Worten: … Euro).</w:t>
      </w:r>
    </w:p>
    <w:p>
      <w:pPr>
        <w:widowControl w:val="on"/>
        <w:pBdr/>
        <w:spacing w:before="140" w:after="240" w:line="288" w:lineRule="auto"/>
        <w:ind w:left="0" w:right="0"/>
        <w:jc w:val="left"/>
      </w:pPr>
      <w:r>
        <w:rPr>
          <w:rFonts w:ascii="Arial" w:hAnsi="Arial" w:eastAsia="Arial" w:cs="Arial"/>
          <w:color w:val="000000"/>
          <w:sz w:val="20"/>
          <w:szCs w:val="20"/>
        </w:rPr>
        <w:t xml:space="preserve">Wir verpflichten uns unwiderruflich, auf Ihre erste schriftliche
Anforderung hin jeden von Ihnen verlangten Betrag bis zum
vorgenannten Höchstbetrag binnen drei Bankarbeitstagen zu bezahlen,
sofern Ihre Inanspruchnahme innerhalb der Garantiedauer bei uns
einlangt und den in dieser Garantie festgelegten Anforderungen
entspricht.</w:t>
      </w:r>
    </w:p>
    <w:p>
      <w:pPr>
        <w:widowControl w:val="on"/>
        <w:pBdr/>
        <w:spacing w:before="140" w:after="240" w:line="288" w:lineRule="auto"/>
        <w:ind w:left="0" w:right="0"/>
        <w:jc w:val="left"/>
      </w:pPr>
      <w:r>
        <w:rPr>
          <w:rFonts w:ascii="Arial" w:hAnsi="Arial" w:eastAsia="Arial" w:cs="Arial"/>
          <w:color w:val="000000"/>
          <w:sz w:val="20"/>
          <w:szCs w:val="20"/>
        </w:rPr>
        <w:t xml:space="preserve">Die schriftliche Inanspruchnahme hat zu enthalten:</w:t>
      </w:r>
    </w:p>
    <w:p>
      <w:pPr>
        <w:numPr>
          <w:ilvl w:val="0"/>
          <w:numId w:val="5524811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Bezeichnung dieser Zahlungsgarantie,</w:t>
      </w:r>
    </w:p>
    <w:p>
      <w:pPr>
        <w:numPr>
          <w:ilvl w:val="0"/>
          <w:numId w:val="5524811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Erklärung, dass Sie die vertragsgegenständliche Lieferung
ordnungsgemäß erbracht haben,</w:t>
      </w:r>
    </w:p>
    <w:p>
      <w:pPr>
        <w:numPr>
          <w:ilvl w:val="0"/>
          <w:numId w:val="5524811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Erklärung, dass die dadurch gesicherte Kaufpreisforderung
fällig ist und der Käufer seiner Zahlungsverpflichtung bei
Fälligkeit ganz oder teilweise nicht nachgekommen ist, und</w:t>
      </w:r>
    </w:p>
    <w:p>
      <w:pPr>
        <w:numPr>
          <w:ilvl w:val="0"/>
          <w:numId w:val="55248111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 des aus dieser Garantie in Anspruch genommenen
Betrags.</w:t>
      </w:r>
    </w:p>
    <w:p>
      <w:pPr>
        <w:widowControl w:val="on"/>
        <w:pBdr/>
        <w:spacing w:before="140" w:after="240" w:line="288" w:lineRule="auto"/>
        <w:ind w:left="0" w:right="0"/>
        <w:jc w:val="left"/>
      </w:pPr>
      <w:r>
        <w:rPr>
          <w:rFonts w:ascii="Arial" w:hAnsi="Arial" w:eastAsia="Arial" w:cs="Arial"/>
          <w:color w:val="000000"/>
          <w:sz w:val="20"/>
          <w:szCs w:val="20"/>
        </w:rPr>
        <w:t xml:space="preserve">Der schriftlichen Inanspruchnahme sind folgende Unterlagen
anzuschließen:</w:t>
      </w:r>
    </w:p>
    <w:p>
      <w:pPr>
        <w:numPr>
          <w:ilvl w:val="0"/>
          <w:numId w:val="7307379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Kopie der maßgeblichen Rechnung,</w:t>
      </w:r>
    </w:p>
    <w:p>
      <w:pPr>
        <w:numPr>
          <w:ilvl w:val="0"/>
          <w:numId w:val="73073796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Nachweis über die Lieferung entsprechend den vertraglich
vereinbarten Lieferbedingungen, insbesondere ein Lieferschein,
Übernahmebeleg, Frachtpapier oder ein sonst im Liefervertrag
vorgesehener Liefernachweis.</w:t>
      </w:r>
    </w:p>
    <w:p>
      <w:pPr>
        <w:widowControl w:val="on"/>
        <w:pBdr/>
        <w:spacing w:before="140" w:after="240" w:line="288" w:lineRule="auto"/>
        <w:ind w:left="0" w:right="0"/>
        <w:jc w:val="left"/>
      </w:pPr>
      <w:r>
        <w:rPr>
          <w:rFonts w:ascii="Arial" w:hAnsi="Arial" w:eastAsia="Arial" w:cs="Arial"/>
          <w:color w:val="000000"/>
          <w:sz w:val="20"/>
          <w:szCs w:val="20"/>
        </w:rPr>
        <w:t xml:space="preserve">Ihre Inanspruchnahme hat schriftlich zu erfolgen. Eine
Übermittlung im Wege elektronischer Kommunikation ist nur wirksam,
wenn sie über ein zwischen Ihnen und uns vorab vereinbartes
sicheres Kommunikationsverfahren erfolgt.</w:t>
      </w:r>
    </w:p>
    <w:p>
      <w:pPr>
        <w:widowControl w:val="on"/>
        <w:pBdr/>
        <w:spacing w:before="140" w:after="240" w:line="288" w:lineRule="auto"/>
        <w:ind w:left="0" w:right="0"/>
        <w:jc w:val="left"/>
      </w:pPr>
      <w:r>
        <w:rPr>
          <w:rFonts w:ascii="Arial" w:hAnsi="Arial" w:eastAsia="Arial" w:cs="Arial"/>
          <w:color w:val="000000"/>
          <w:sz w:val="20"/>
          <w:szCs w:val="20"/>
        </w:rPr>
        <w:t xml:space="preserve">Sofern vereinbart ist, dass Ihre Unterschrift im Abruffall durch
ein Kreditinstitut bestätigt werden muss, ist die Inanspruchnahme
zusätzlich mit einer Bestätigung der Echtheit Ihrer Unterschrift
durch ein in Österreich oder am Sitz des Begünstigten zum
Geschäftsbetrieb befugtes Kreditinstitut zu versehen.</w:t>
      </w:r>
    </w:p>
    <w:p>
      <w:pPr>
        <w:widowControl w:val="on"/>
        <w:pBdr/>
        <w:spacing w:before="140" w:after="240" w:line="288" w:lineRule="auto"/>
        <w:ind w:left="0" w:right="0"/>
        <w:jc w:val="left"/>
      </w:pPr>
      <w:r>
        <w:rPr>
          <w:rFonts w:ascii="Arial" w:hAnsi="Arial" w:eastAsia="Arial" w:cs="Arial"/>
          <w:color w:val="000000"/>
          <w:sz w:val="20"/>
          <w:szCs w:val="20"/>
        </w:rPr>
        <w:t xml:space="preserve">Wir sind nicht berechtigt, die Berechtigung, das Bestehen, die
Höhe oder die Durchsetzbarkeit der von Ihnen behaupteten Ansprüche
aus dem Grundverhältnis zu prüfen oder Einwendungen aus dem
Grundverhältnis zu erheben, soweit dem nicht zwingendes
österreichisches Recht entgegensteht.</w:t>
      </w:r>
    </w:p>
    <w:p>
      <w:pPr>
        <w:widowControl w:val="on"/>
        <w:pBdr/>
        <w:spacing w:before="140" w:after="240" w:line="288" w:lineRule="auto"/>
        <w:ind w:left="0" w:right="0"/>
        <w:jc w:val="left"/>
      </w:pPr>
      <w:r>
        <w:rPr>
          <w:rFonts w:ascii="Arial" w:hAnsi="Arial" w:eastAsia="Arial" w:cs="Arial"/>
          <w:color w:val="000000"/>
          <w:sz w:val="20"/>
          <w:szCs w:val="20"/>
        </w:rPr>
        <w:t xml:space="preserve">Zahlungen aus dieser Garantie erfolgen mit schuldbefreiender
Wirkung auf das von Ihnen in der Inanspruchnahme bekanntgegebene
Konto.</w:t>
      </w:r>
    </w:p>
    <w:p>
      <w:pPr>
        <w:widowControl w:val="on"/>
        <w:pBdr/>
        <w:spacing w:before="140" w:after="240" w:line="288" w:lineRule="auto"/>
        <w:ind w:left="0" w:right="0"/>
        <w:jc w:val="left"/>
      </w:pPr>
      <w:r>
        <w:rPr>
          <w:rFonts w:ascii="Arial" w:hAnsi="Arial" w:eastAsia="Arial" w:cs="Arial"/>
          <w:color w:val="000000"/>
          <w:sz w:val="20"/>
          <w:szCs w:val="20"/>
        </w:rPr>
        <w:t xml:space="preserve">Diese Garantie tritt mit Ausstellung in Kraft und erlischt mit
Ablauf des …, sofern nicht spätestens bis zu diesem Zeitpunkt eine
schriftliche Inanspruchnahme, die den vorstehenden Anforderungen
entspricht, bei uns eingelangt ist.</w:t>
      </w:r>
    </w:p>
    <w:p>
      <w:pPr>
        <w:widowControl w:val="on"/>
        <w:pBdr/>
        <w:spacing w:before="140" w:after="240" w:line="288" w:lineRule="auto"/>
        <w:ind w:left="0" w:right="0"/>
        <w:jc w:val="left"/>
      </w:pPr>
      <w:r>
        <w:rPr>
          <w:rFonts w:ascii="Arial" w:hAnsi="Arial" w:eastAsia="Arial" w:cs="Arial"/>
          <w:color w:val="000000"/>
          <w:sz w:val="20"/>
          <w:szCs w:val="20"/>
        </w:rPr>
        <w:t xml:space="preserve">Die Garantie erlischt vorzeitig, wenn Sie uns schriftlich
erklären, aus dieser Garantie keine Ansprüche mehr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Das Recht, diese Garantie in Anspruch zu nehmen, ist ohne unsere
vorherige schriftliche Zustimmung nicht übertragbar. Die Abtretung
eines bereits entstandenen und fälligen Zahlungsanspruchs aus einer
wirksam gezogenen Garantie bleibt zulässig, soweit dem nicht
zwingendes Recht entgegensteht.</w:t>
      </w:r>
    </w:p>
    <w:p>
      <w:pPr>
        <w:widowControl w:val="on"/>
        <w:pBdr/>
        <w:spacing w:before="140" w:after="240" w:line="288" w:lineRule="auto"/>
        <w:ind w:left="0" w:right="0"/>
        <w:jc w:val="left"/>
      </w:pPr>
      <w:r>
        <w:rPr>
          <w:rFonts w:ascii="Arial" w:hAnsi="Arial" w:eastAsia="Arial" w:cs="Arial"/>
          <w:color w:val="000000"/>
          <w:sz w:val="20"/>
          <w:szCs w:val="20"/>
        </w:rPr>
        <w:t xml:space="preserve">Diese Garantie unterliegt ausschließlich österreichischem
Recht.</w:t>
      </w:r>
    </w:p>
    <w:p>
      <w:pPr>
        <w:widowControl w:val="on"/>
        <w:pBdr/>
        <w:spacing w:before="140" w:after="240" w:line="288" w:lineRule="auto"/>
        <w:ind w:left="0" w:right="0"/>
        <w:jc w:val="left"/>
      </w:pPr>
      <w:r>
        <w:rPr>
          <w:rFonts w:ascii="Arial" w:hAnsi="Arial" w:eastAsia="Arial" w:cs="Arial"/>
          <w:color w:val="000000"/>
          <w:sz w:val="20"/>
          <w:szCs w:val="20"/>
        </w:rPr>
        <w:t xml:space="preserve">Für Streitigkeiten aus oder im Zusammenhang mit dieser Garantie
ist, soweit gesetzlich zulässig, das sachlich zuständige Gericht am
Sitz der X Internationale Bank Aktiengesellschaft ausschließlich
zuständig. Klagen der X Internationale Bank Aktiengesellschaft
gegen den Begünstigten können wahlweise auch am allgemeinen
Gerichtsstand des Begünstigten eingebracht werden. Die Wirksamkeit
einer Gerichtsstandsvereinbarung richtet sich nach den zwingenden
verfahrensrechtlichen Vorschriften.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926756" w:name="note1"/>
            <w:bookmarkEnd w:id="65926756"/>
            <w:bookmarkStart w:id="8222404399040" w:name="note1"/>
            <w:r>
              <w:rPr>
                <w:rFonts w:ascii="Arial" w:hAnsi="Arial" w:eastAsia="Arial" w:cs="Arial"/>
                <w:b/>
                <w:bCs/>
                <w:color w:val="000000"/>
                <w:position w:val="0"/>
                <w:sz w:val="20"/>
                <w:szCs w:val="20"/>
              </w:rPr>
              <w:t xml:space="preserve">[1]</w:t>
            </w:r>
            <w:bookmarkEnd w:id="822240439904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Bankgarantien werden für verschiedenste Zwecke gegeben, etwa als
Ausschreibungsgarantie, Anzahlungsgarantie, Erfüllungsgarantie,
Gewährleistungsgarantie, Haftrücklassgarantie oder
Zahlungsgarantie.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381385" w:name="note2"/>
            <w:bookmarkEnd w:id="14381385"/>
            <w:bookmarkStart w:id="3850206638323" w:name="note2"/>
            <w:r>
              <w:rPr>
                <w:rFonts w:ascii="Arial" w:hAnsi="Arial" w:eastAsia="Arial" w:cs="Arial"/>
                <w:b/>
                <w:bCs/>
                <w:color w:val="000000"/>
                <w:position w:val="0"/>
                <w:sz w:val="20"/>
                <w:szCs w:val="20"/>
              </w:rPr>
              <w:t xml:space="preserve">[2]</w:t>
            </w:r>
            <w:bookmarkEnd w:id="385020663832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Vereinbarung zwischen dem Auftraggeber und dem
Kreditinstitut, eine Garantie an den Begünstigten zu erstellen, ist
gem §§ 1002 ff ABGB ein Auftragsverhältnis. Das Kreditinstitut
ist aufgrund der Auftragserteilung verpflichtet, im Interesse und
auf Rechnung des Auftraggebers einen Garantievertrag mit dem
Begünstigten abzuschließen.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8671786" w:name="note3"/>
            <w:bookmarkEnd w:id="48671786"/>
            <w:bookmarkStart w:id="4282536888894" w:name="note3"/>
            <w:r>
              <w:rPr>
                <w:rFonts w:ascii="Arial" w:hAnsi="Arial" w:eastAsia="Arial" w:cs="Arial"/>
                <w:b/>
                <w:bCs/>
                <w:color w:val="000000"/>
                <w:position w:val="0"/>
                <w:sz w:val="20"/>
                <w:szCs w:val="20"/>
              </w:rPr>
              <w:t xml:space="preserve">[3]</w:t>
            </w:r>
            <w:bookmarkEnd w:id="42825368888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Zahlungsgarantie dient dem Verkäufer als Absicherung für den
Fall, dass der Käufer die vertraglich vereinbarte Leistung oder
Lieferung nicht termingerecht bezahlen kann oder will.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984854" w:name="note4"/>
            <w:bookmarkEnd w:id="31984854"/>
            <w:bookmarkStart w:id="62974833691" w:name="note4"/>
            <w:r>
              <w:rPr>
                <w:rFonts w:ascii="Arial" w:hAnsi="Arial" w:eastAsia="Arial" w:cs="Arial"/>
                <w:b/>
                <w:bCs/>
                <w:color w:val="000000"/>
                <w:position w:val="0"/>
                <w:sz w:val="20"/>
                <w:szCs w:val="20"/>
              </w:rPr>
              <w:t xml:space="preserve">[4]</w:t>
            </w:r>
            <w:bookmarkEnd w:id="629748336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Elektronische Kommunikationswege können die Inanspruchnahme
erleichtern, bergen aber ohne präzise Festlegung ein erhebliches
Unsicherheitsrisiko. Unklare Begriffe wie verschlüsselte
Telekommunikation sagen für sich genommen noch nicht, welches
Verfahren tatsächlich zulässig ist. Für die Praxis ist daher ein
konkret vereinbarter sicherer Kommunikationsweg deutlich besser,
weil dadurch Zugang, Authentizität und Form leichter
nachvollziehbar bleiben.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96589" w:name="note5"/>
            <w:bookmarkEnd w:id="6996589"/>
            <w:bookmarkStart w:id="7293778741572" w:name="note5"/>
            <w:r>
              <w:rPr>
                <w:rFonts w:ascii="Arial" w:hAnsi="Arial" w:eastAsia="Arial" w:cs="Arial"/>
                <w:b/>
                <w:bCs/>
                <w:color w:val="000000"/>
                <w:position w:val="0"/>
                <w:sz w:val="20"/>
                <w:szCs w:val="20"/>
              </w:rPr>
              <w:t xml:space="preserve">[5]</w:t>
            </w:r>
            <w:bookmarkEnd w:id="72937787415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Zahlungsgarantie ist die Frage besonders wichtig, wie
die ordnungsgemäße Lieferung im Abruffall nachgewiesen werden soll.
Ein bloßer Verweis auf die Lieferung reicht in der Praxis oft nicht
aus. Sinnvoll ist daher eine klare Dokumentationsregel, damit
später nachvollziehbar ist, welche Unterlagen die vertragsgemäße
Leistung des Verkäufers belegen sollen. Das reduziert das Risiko
von Diskussionen über die Frage, ob der Garantiefall ausreichend
dargelegt wurde.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737960">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55248111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6637216">
    <w:multiLevelType w:val="hybridMultilevel"/>
    <w:lvl w:ilvl="0" w:tplc="26566323">
      <w:start w:val="1"/>
      <w:numFmt w:val="decimal"/>
      <w:lvlText w:val="%1."/>
      <w:lvlJc w:val="left"/>
      <w:pPr>
        <w:ind w:left="720" w:hanging="360"/>
      </w:pPr>
    </w:lvl>
    <w:lvl w:ilvl="1" w:tplc="26566323" w:tentative="1">
      <w:start w:val="1"/>
      <w:numFmt w:val="lowerLetter"/>
      <w:lvlText w:val="%2."/>
      <w:lvlJc w:val="left"/>
      <w:pPr>
        <w:ind w:left="1440" w:hanging="360"/>
      </w:pPr>
    </w:lvl>
    <w:lvl w:ilvl="2" w:tplc="26566323" w:tentative="1">
      <w:start w:val="1"/>
      <w:numFmt w:val="lowerRoman"/>
      <w:lvlText w:val="%3."/>
      <w:lvlJc w:val="right"/>
      <w:pPr>
        <w:ind w:left="2160" w:hanging="180"/>
      </w:pPr>
    </w:lvl>
    <w:lvl w:ilvl="3" w:tplc="26566323" w:tentative="1">
      <w:start w:val="1"/>
      <w:numFmt w:val="decimal"/>
      <w:lvlText w:val="%4."/>
      <w:lvlJc w:val="left"/>
      <w:pPr>
        <w:ind w:left="2880" w:hanging="360"/>
      </w:pPr>
    </w:lvl>
    <w:lvl w:ilvl="4" w:tplc="26566323" w:tentative="1">
      <w:start w:val="1"/>
      <w:numFmt w:val="lowerLetter"/>
      <w:lvlText w:val="%5."/>
      <w:lvlJc w:val="left"/>
      <w:pPr>
        <w:ind w:left="3600" w:hanging="360"/>
      </w:pPr>
    </w:lvl>
    <w:lvl w:ilvl="5" w:tplc="26566323" w:tentative="1">
      <w:start w:val="1"/>
      <w:numFmt w:val="lowerRoman"/>
      <w:lvlText w:val="%6."/>
      <w:lvlJc w:val="right"/>
      <w:pPr>
        <w:ind w:left="4320" w:hanging="180"/>
      </w:pPr>
    </w:lvl>
    <w:lvl w:ilvl="6" w:tplc="26566323" w:tentative="1">
      <w:start w:val="1"/>
      <w:numFmt w:val="decimal"/>
      <w:lvlText w:val="%7."/>
      <w:lvlJc w:val="left"/>
      <w:pPr>
        <w:ind w:left="5040" w:hanging="360"/>
      </w:pPr>
    </w:lvl>
    <w:lvl w:ilvl="7" w:tplc="26566323" w:tentative="1">
      <w:start w:val="1"/>
      <w:numFmt w:val="lowerLetter"/>
      <w:lvlText w:val="%8."/>
      <w:lvlJc w:val="left"/>
      <w:pPr>
        <w:ind w:left="5760" w:hanging="360"/>
      </w:pPr>
    </w:lvl>
    <w:lvl w:ilvl="8" w:tplc="26566323" w:tentative="1">
      <w:start w:val="1"/>
      <w:numFmt w:val="lowerRoman"/>
      <w:lvlText w:val="%9."/>
      <w:lvlJc w:val="right"/>
      <w:pPr>
        <w:ind w:left="6480" w:hanging="180"/>
      </w:pPr>
    </w:lvl>
  </w:abstractNum>
  <w:abstractNum w:abstractNumId="56637215">
    <w:multiLevelType w:val="hybridMultilevel"/>
    <w:lvl w:ilvl="0" w:tplc="70107490">
      <w:start w:val="1"/>
      <w:numFmt w:val="decimal"/>
      <w:lvlText w:val="%1."/>
      <w:lvlJc w:val="left"/>
      <w:pPr>
        <w:ind w:left="720" w:hanging="360"/>
      </w:pPr>
    </w:lvl>
    <w:lvl w:ilvl="1" w:tplc="70107490" w:tentative="1">
      <w:start w:val="1"/>
      <w:numFmt w:val="lowerLetter"/>
      <w:lvlText w:val="%2."/>
      <w:lvlJc w:val="left"/>
      <w:pPr>
        <w:ind w:left="1440" w:hanging="360"/>
      </w:pPr>
    </w:lvl>
    <w:lvl w:ilvl="2" w:tplc="70107490" w:tentative="1">
      <w:start w:val="1"/>
      <w:numFmt w:val="lowerRoman"/>
      <w:lvlText w:val="%3."/>
      <w:lvlJc w:val="right"/>
      <w:pPr>
        <w:ind w:left="2160" w:hanging="180"/>
      </w:pPr>
    </w:lvl>
    <w:lvl w:ilvl="3" w:tplc="70107490" w:tentative="1">
      <w:start w:val="1"/>
      <w:numFmt w:val="decimal"/>
      <w:lvlText w:val="%4."/>
      <w:lvlJc w:val="left"/>
      <w:pPr>
        <w:ind w:left="2880" w:hanging="360"/>
      </w:pPr>
    </w:lvl>
    <w:lvl w:ilvl="4" w:tplc="70107490" w:tentative="1">
      <w:start w:val="1"/>
      <w:numFmt w:val="lowerLetter"/>
      <w:lvlText w:val="%5."/>
      <w:lvlJc w:val="left"/>
      <w:pPr>
        <w:ind w:left="3600" w:hanging="360"/>
      </w:pPr>
    </w:lvl>
    <w:lvl w:ilvl="5" w:tplc="70107490" w:tentative="1">
      <w:start w:val="1"/>
      <w:numFmt w:val="lowerRoman"/>
      <w:lvlText w:val="%6."/>
      <w:lvlJc w:val="right"/>
      <w:pPr>
        <w:ind w:left="4320" w:hanging="180"/>
      </w:pPr>
    </w:lvl>
    <w:lvl w:ilvl="6" w:tplc="70107490" w:tentative="1">
      <w:start w:val="1"/>
      <w:numFmt w:val="decimal"/>
      <w:lvlText w:val="%7."/>
      <w:lvlJc w:val="left"/>
      <w:pPr>
        <w:ind w:left="5040" w:hanging="360"/>
      </w:pPr>
    </w:lvl>
    <w:lvl w:ilvl="7" w:tplc="70107490" w:tentative="1">
      <w:start w:val="1"/>
      <w:numFmt w:val="lowerLetter"/>
      <w:lvlText w:val="%8."/>
      <w:lvlJc w:val="left"/>
      <w:pPr>
        <w:ind w:left="5760" w:hanging="360"/>
      </w:pPr>
    </w:lvl>
    <w:lvl w:ilvl="8" w:tplc="70107490" w:tentative="1">
      <w:start w:val="1"/>
      <w:numFmt w:val="lowerRoman"/>
      <w:lvlText w:val="%9."/>
      <w:lvlJc w:val="right"/>
      <w:pPr>
        <w:ind w:left="6480" w:hanging="180"/>
      </w:pPr>
    </w:lvl>
  </w:abstractNum>
  <w:abstractNum w:abstractNumId="265581947">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8794463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6637214">
    <w:multiLevelType w:val="hybridMultilevel"/>
    <w:lvl w:ilvl="0" w:tplc="48762270">
      <w:start w:val="1"/>
      <w:numFmt w:val="decimal"/>
      <w:lvlText w:val="%1."/>
      <w:lvlJc w:val="left"/>
      <w:pPr>
        <w:ind w:left="720" w:hanging="360"/>
      </w:pPr>
    </w:lvl>
    <w:lvl w:ilvl="1" w:tplc="48762270" w:tentative="1">
      <w:start w:val="1"/>
      <w:numFmt w:val="lowerLetter"/>
      <w:lvlText w:val="%2."/>
      <w:lvlJc w:val="left"/>
      <w:pPr>
        <w:ind w:left="1440" w:hanging="360"/>
      </w:pPr>
    </w:lvl>
    <w:lvl w:ilvl="2" w:tplc="48762270" w:tentative="1">
      <w:start w:val="1"/>
      <w:numFmt w:val="lowerRoman"/>
      <w:lvlText w:val="%3."/>
      <w:lvlJc w:val="right"/>
      <w:pPr>
        <w:ind w:left="2160" w:hanging="180"/>
      </w:pPr>
    </w:lvl>
    <w:lvl w:ilvl="3" w:tplc="48762270" w:tentative="1">
      <w:start w:val="1"/>
      <w:numFmt w:val="decimal"/>
      <w:lvlText w:val="%4."/>
      <w:lvlJc w:val="left"/>
      <w:pPr>
        <w:ind w:left="2880" w:hanging="360"/>
      </w:pPr>
    </w:lvl>
    <w:lvl w:ilvl="4" w:tplc="48762270" w:tentative="1">
      <w:start w:val="1"/>
      <w:numFmt w:val="lowerLetter"/>
      <w:lvlText w:val="%5."/>
      <w:lvlJc w:val="left"/>
      <w:pPr>
        <w:ind w:left="3600" w:hanging="360"/>
      </w:pPr>
    </w:lvl>
    <w:lvl w:ilvl="5" w:tplc="48762270" w:tentative="1">
      <w:start w:val="1"/>
      <w:numFmt w:val="lowerRoman"/>
      <w:lvlText w:val="%6."/>
      <w:lvlJc w:val="right"/>
      <w:pPr>
        <w:ind w:left="4320" w:hanging="180"/>
      </w:pPr>
    </w:lvl>
    <w:lvl w:ilvl="6" w:tplc="48762270" w:tentative="1">
      <w:start w:val="1"/>
      <w:numFmt w:val="decimal"/>
      <w:lvlText w:val="%7."/>
      <w:lvlJc w:val="left"/>
      <w:pPr>
        <w:ind w:left="5040" w:hanging="360"/>
      </w:pPr>
    </w:lvl>
    <w:lvl w:ilvl="7" w:tplc="48762270" w:tentative="1">
      <w:start w:val="1"/>
      <w:numFmt w:val="lowerLetter"/>
      <w:lvlText w:val="%8."/>
      <w:lvlJc w:val="left"/>
      <w:pPr>
        <w:ind w:left="5760" w:hanging="360"/>
      </w:pPr>
    </w:lvl>
    <w:lvl w:ilvl="8" w:tplc="48762270" w:tentative="1">
      <w:start w:val="1"/>
      <w:numFmt w:val="lowerRoman"/>
      <w:lvlText w:val="%9."/>
      <w:lvlJc w:val="right"/>
      <w:pPr>
        <w:ind w:left="6480" w:hanging="180"/>
      </w:pPr>
    </w:lvl>
  </w:abstractNum>
  <w:abstractNum w:abstractNumId="56637213">
    <w:multiLevelType w:val="hybridMultilevel"/>
    <w:lvl w:ilvl="0" w:tplc="175330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637213">
    <w:abstractNumId w:val="56637213"/>
  </w:num>
  <w:num w:numId="56637214">
    <w:abstractNumId w:val="56637214"/>
  </w:num>
  <w:num w:numId="487944635">
    <w:abstractNumId w:val="487944635"/>
  </w:num>
  <w:num w:numId="265581947">
    <w:abstractNumId w:val="265581947"/>
  </w:num>
  <w:num w:numId="56637215">
    <w:abstractNumId w:val="56637215"/>
  </w:num>
  <w:num w:numId="56637216">
    <w:abstractNumId w:val="56637216"/>
  </w:num>
  <w:num w:numId="552481112">
    <w:abstractNumId w:val="552481112"/>
  </w:num>
  <w:num w:numId="730737960">
    <w:abstractNumId w:val="730737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16658918" Type="http://schemas.openxmlformats.org/officeDocument/2006/relationships/numbering" Target="numbering.xml"/><Relationship Id="rId60091303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