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4414260" w:name="document"/>
    <w:bookmarkEnd w:id="24414260"/>
    <w:p/>
    <w:p>
      <w:pPr>
        <w:widowControl w:val="on"/>
        <w:pBdr/>
        <w:spacing w:before="0" w:after="280" w:line="240" w:lineRule="auto"/>
        <w:ind w:left="0" w:right="0"/>
        <w:jc w:val="left"/>
      </w:pPr>
      <w:r>
        <w:rPr>
          <w:rFonts w:ascii="Arial" w:hAnsi="Arial" w:eastAsia="Arial" w:cs="Arial"/>
          <w:color w:val="363A40"/>
          <w:sz w:val="24"/>
          <w:szCs w:val="24"/>
        </w:rPr>
        <w:t xml:space="preserve">Dokument-ID: 1152296 | Redaktion FORUM Media |
Muster | Übersicht</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Aktuelle und wichtige Werte für die Lohnverrechnung</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Lohnsteuertarife</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Lohnsteuertarif 2026</w:t>
      </w:r>
    </w:p>
    <w:p>
      <w:pPr>
        <w:widowControl w:val="on"/>
        <w:pBdr/>
        <w:spacing w:before="140" w:after="240" w:line="288" w:lineRule="auto"/>
        <w:ind w:left="0" w:right="0"/>
        <w:jc w:val="left"/>
      </w:pPr>
      <w:r>
        <w:rPr>
          <w:rFonts w:ascii="Arial" w:hAnsi="Arial" w:eastAsia="Arial" w:cs="Arial"/>
          <w:color w:val="000000"/>
          <w:sz w:val="20"/>
          <w:szCs w:val="20"/>
        </w:rPr>
        <w:t xml:space="preserve">Die Lohnsteuer beträgt im Veranlagungsjahr 2026 jährlich:</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Einkommen (EK) in 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Steuersatz</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13.539,00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13.539,00–21.992,00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21.992,00–36.458,00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36.458,00–70.365,00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70.365,00–104.859,00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48 %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104.859,00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50 %</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Lohnsteuertarif 2025</w:t>
      </w:r>
    </w:p>
    <w:p>
      <w:pPr>
        <w:widowControl w:val="on"/>
        <w:pBdr/>
        <w:spacing w:before="140" w:after="240" w:line="288" w:lineRule="auto"/>
        <w:ind w:left="0" w:right="0"/>
        <w:jc w:val="left"/>
      </w:pPr>
      <w:r>
        <w:rPr>
          <w:rFonts w:ascii="Arial" w:hAnsi="Arial" w:eastAsia="Arial" w:cs="Arial"/>
          <w:color w:val="000000"/>
          <w:sz w:val="20"/>
          <w:szCs w:val="20"/>
        </w:rPr>
        <w:t xml:space="preserve">Die Lohnsteuer beträgt im Veranlagungsjahr 2025 jährlich:</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Einkommen (EK) in 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Steuersatz</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13.308,00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13.308,00–21.617,00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21.617,00–35.836,00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35.836,00–69.166,00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69.166,00–103.072,00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48 %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103.072,00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50 %</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Steuersatz für Einkommensteile über
EUR 1,000.000,– beträgt bis 2025 55 %.</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Lohnsteuertarif 2024</w:t>
      </w:r>
    </w:p>
    <w:p>
      <w:pPr>
        <w:widowControl w:val="on"/>
        <w:pBdr/>
        <w:spacing w:before="140" w:after="240" w:line="288" w:lineRule="auto"/>
        <w:ind w:left="0" w:right="0"/>
        <w:jc w:val="left"/>
      </w:pPr>
      <w:r>
        <w:rPr>
          <w:rFonts w:ascii="Arial" w:hAnsi="Arial" w:eastAsia="Arial" w:cs="Arial"/>
          <w:color w:val="000000"/>
          <w:sz w:val="20"/>
          <w:szCs w:val="20"/>
        </w:rPr>
        <w:t xml:space="preserve">Da seit 01.01.2023 die kalte Progression abgeschafft wurde,
werden die Lohnsteuertarife jährlich angepasst.</w:t>
      </w:r>
    </w:p>
    <w:p>
      <w:pPr>
        <w:widowControl w:val="on"/>
        <w:pBdr/>
        <w:spacing w:before="140" w:after="240" w:line="288" w:lineRule="auto"/>
        <w:ind w:left="0" w:right="0"/>
        <w:jc w:val="left"/>
      </w:pPr>
      <w:r>
        <w:rPr>
          <w:rFonts w:ascii="Arial" w:hAnsi="Arial" w:eastAsia="Arial" w:cs="Arial"/>
          <w:color w:val="000000"/>
          <w:sz w:val="20"/>
          <w:szCs w:val="20"/>
        </w:rPr>
        <w:t xml:space="preserve">Die Lohnsteuer beträgt im Veranlagungsjahr 2024 jährlich:</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Einkommen (EK) in 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Steuersatz</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12.816,00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12.816,00–20.818,00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20.818,00–34.513,00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34.513,00–66.612,00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66.612,00–99.266,00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48 %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99.266,00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50 %</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Steuersatz für Einkommensteile über EUR 1,000.000,–
beträgt bis 2025 55 %.</w:t>
      </w:r>
    </w:p>
    <w:p>
      <w:pPr>
        <w:widowControl w:val="on"/>
        <w:pBdr/>
        <w:spacing w:before="200" w:after="200" w:line="300" w:lineRule="auto"/>
        <w:ind w:left="0" w:right="0"/>
        <w:jc w:val="left"/>
        <w:outlineLvl w:val="2"/>
      </w:pPr>
      <w:bookmarkStart w:id="50722185" w:name="_Toc144896345"/>
      <w:bookmarkEnd w:id="50722185"/>
      <w:r>
        <w:rPr>
          <w:rFonts w:ascii="Arial" w:hAnsi="Arial" w:eastAsia="Arial" w:cs="Arial"/>
          <w:b/>
          <w:bCs/>
          <w:color w:val="363A40"/>
          <w:sz w:val="22"/>
          <w:szCs w:val="22"/>
        </w:rPr>
        <w:t xml:space="preserve">Lohnsteuertarif
2023</w:t>
      </w:r>
    </w:p>
    <w:p>
      <w:pPr>
        <w:widowControl w:val="on"/>
        <w:pBdr/>
        <w:spacing w:before="140" w:after="240" w:line="288" w:lineRule="auto"/>
        <w:ind w:left="0" w:right="0"/>
        <w:jc w:val="left"/>
      </w:pPr>
      <w:r>
        <w:rPr>
          <w:rFonts w:ascii="Arial" w:hAnsi="Arial" w:eastAsia="Arial" w:cs="Arial"/>
          <w:color w:val="000000"/>
          <w:sz w:val="20"/>
          <w:szCs w:val="20"/>
        </w:rPr>
        <w:t xml:space="preserve">Die Lohnsteuer betrug im Veranlagungsjahr 2023 jährlich:</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Einkommen (EK) in 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Steuersatz</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11.693,00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11.693,00–19.134,00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19.134,00–32.075,00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32.075,00–62.080,00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41 %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62.080,00–93.120,00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48 %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93.120,00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50 %</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Steuersatz für Einkommensteile über EUR 1,000.000,–
beträgt bis 2025 55 %.</w:t>
      </w:r>
    </w:p>
    <w:p>
      <w:pPr>
        <w:widowControl w:val="on"/>
        <w:pBdr/>
        <w:spacing w:before="0" w:after="105" w:line="288" w:lineRule="auto"/>
        <w:ind w:left="0" w:right="0"/>
        <w:jc w:val="left"/>
      </w:pPr>
      <w:r>
        <w:rPr>
          <w:rFonts w:ascii="Arial" w:hAnsi="Arial" w:eastAsia="Arial" w:cs="Arial"/>
          <w:b/>
          <w:bCs/>
          <w:color w:val="277DB9"/>
          <w:sz w:val="25"/>
          <w:szCs w:val="25"/>
        </w:rPr>
        <w:t xml:space="preserve">Hinweis:</w:t>
      </w:r>
    </w:p>
    <w:p>
      <w:pPr>
        <w:widowControl w:val="on"/>
        <w:pBdr/>
        <w:spacing w:before="140" w:after="240" w:line="288" w:lineRule="auto"/>
        <w:ind w:left="0" w:right="0"/>
        <w:jc w:val="left"/>
      </w:pPr>
      <w:r>
        <w:rPr>
          <w:rFonts w:ascii="Arial" w:hAnsi="Arial" w:eastAsia="Arial" w:cs="Arial"/>
          <w:color w:val="277DB9"/>
          <w:sz w:val="20"/>
          <w:szCs w:val="20"/>
        </w:rPr>
        <w:t xml:space="preserve">Für das gesamte Kalenderjahr 2023 kommt für die
dritte Tarifstufe ein Mischsteuersatz von 41 % zu Anwendung.
Im Jahr 2024 beträgt der Steuersatz für die dritte Tarifstufe dann
40 %.</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Steuerabsetzbeträge, Negativsteuer</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Verkehrsabsetzbetrag 2026</w:t>
      </w:r>
    </w:p>
    <w:p>
      <w:pPr>
        <w:widowControl w:val="on"/>
        <w:pBdr/>
        <w:spacing w:before="140" w:after="240" w:line="288" w:lineRule="auto"/>
        <w:ind w:left="0" w:right="0"/>
        <w:jc w:val="left"/>
      </w:pPr>
      <w:r>
        <w:rPr>
          <w:rFonts w:ascii="Arial" w:hAnsi="Arial" w:eastAsia="Arial" w:cs="Arial"/>
          <w:color w:val="000000"/>
          <w:sz w:val="20"/>
          <w:szCs w:val="20"/>
        </w:rPr>
        <w:t xml:space="preserve">Allen Arbeitnehmern, die Einkünfte aus einem bestehenden
Dienstverhältnis beziehen, steht 2025 ein Verkehrsabsetzbetrag von
jährlich EUR 496,– zu.</w:t>
      </w:r>
    </w:p>
    <w:p>
      <w:pPr>
        <w:widowControl w:val="on"/>
        <w:pBdr/>
        <w:spacing w:before="140" w:after="240" w:line="288" w:lineRule="auto"/>
        <w:ind w:left="0" w:right="0"/>
        <w:jc w:val="left"/>
      </w:pPr>
      <w:r>
        <w:rPr>
          <w:rFonts w:ascii="Arial" w:hAnsi="Arial" w:eastAsia="Arial" w:cs="Arial"/>
          <w:color w:val="000000"/>
          <w:sz w:val="20"/>
          <w:szCs w:val="20"/>
        </w:rPr>
        <w:t xml:space="preserve">Bei Anspruch auf ein Pendlerpauschale erhöht sich der
Verkehrsabsetzbetrag 2026 auf EUR 853,–, wenn das Einkommen
des Steuerpflichtigen EUR 15.069,– im Kalenderjahr nicht
übersteigt. Der erhöhte Verkehrsabsetzbetrag vermindert sich 2026
zwischen Einkommen von EUR 15.069,– und EUR 16.056,–
gleichmäßig einschleifend auf EUR 496,–.</w:t>
      </w:r>
    </w:p>
    <w:p>
      <w:pPr>
        <w:widowControl w:val="on"/>
        <w:pBdr/>
        <w:spacing w:before="140" w:after="240" w:line="288" w:lineRule="auto"/>
        <w:ind w:left="0" w:right="0"/>
        <w:jc w:val="left"/>
      </w:pPr>
      <w:r>
        <w:rPr>
          <w:rFonts w:ascii="Arial" w:hAnsi="Arial" w:eastAsia="Arial" w:cs="Arial"/>
          <w:color w:val="000000"/>
          <w:sz w:val="20"/>
          <w:szCs w:val="20"/>
        </w:rPr>
        <w:t xml:space="preserve">Zuschlag zum Verkehrsabsetzbetrag: Arbeitnehmer mit einem
geringeren Einkommen können im Rahmen der Arbeitnehmerveranlagung
einen Zuschlag zum Verkehrsabsetzbetrag geltend machen. Im Jahr
2026 erhöht sich der Verkehrsabsetzbetrag um EUR 804,–, wenn
das Einkommen des Arbeitnehmers EUR 19.761,– im Kalenderjahr
nicht übersteigt. Der Zuschlag vermindert sich jedoch zwischen
Einkommen von EUR 19.761,– und EUR 30.249, – gleichmäßig
einschleifend auf EUR 0,–.</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Verkehrsabsetzbetrag 2025</w:t>
      </w:r>
    </w:p>
    <w:p>
      <w:pPr>
        <w:widowControl w:val="on"/>
        <w:pBdr/>
        <w:spacing w:before="140" w:after="240" w:line="288" w:lineRule="auto"/>
        <w:ind w:left="0" w:right="0"/>
        <w:jc w:val="left"/>
      </w:pPr>
      <w:r>
        <w:rPr>
          <w:rFonts w:ascii="Arial" w:hAnsi="Arial" w:eastAsia="Arial" w:cs="Arial"/>
          <w:color w:val="000000"/>
          <w:sz w:val="20"/>
          <w:szCs w:val="20"/>
        </w:rPr>
        <w:t xml:space="preserve">Allen Arbeitnehmern, die Einkünfte aus einem bestehenden
Dienstverhältnis beziehen, steht 2025 ein Verkehrsabsetzbetrag von
jährlich EUR 487,– zu.</w:t>
      </w:r>
    </w:p>
    <w:p>
      <w:pPr>
        <w:widowControl w:val="on"/>
        <w:pBdr/>
        <w:spacing w:before="140" w:after="240" w:line="288" w:lineRule="auto"/>
        <w:ind w:left="0" w:right="0"/>
        <w:jc w:val="left"/>
      </w:pPr>
      <w:r>
        <w:rPr>
          <w:rFonts w:ascii="Arial" w:hAnsi="Arial" w:eastAsia="Arial" w:cs="Arial"/>
          <w:color w:val="000000"/>
          <w:sz w:val="20"/>
          <w:szCs w:val="20"/>
        </w:rPr>
        <w:t xml:space="preserve">Bei Anspruch auf ein Pendlerpauschale erhöht sich der
Verkehrsabsetzbetrag 2025 auf EUR 838,–, wenn das Einkommen
des Steuerpflichtigen EUR 14.812,– im Kalenderjahr nicht
übersteigt. Der erhöhte Verkehrsabsetzbetrag vermindert sich 2025
zwischen Einkommen von EUR 14.812,– und EUR 15.782,–
gleichmäßig einschleifend auf EUR 487,–.</w:t>
      </w:r>
    </w:p>
    <w:p>
      <w:pPr>
        <w:widowControl w:val="on"/>
        <w:pBdr/>
        <w:spacing w:before="140" w:after="240" w:line="288" w:lineRule="auto"/>
        <w:ind w:left="0" w:right="0"/>
        <w:jc w:val="left"/>
      </w:pPr>
      <w:r>
        <w:rPr>
          <w:rFonts w:ascii="Arial" w:hAnsi="Arial" w:eastAsia="Arial" w:cs="Arial"/>
          <w:b/>
          <w:bCs/>
          <w:color w:val="000000"/>
          <w:sz w:val="20"/>
          <w:szCs w:val="20"/>
        </w:rPr>
        <w:t xml:space="preserve">Zuschlag zum Verkehrsabsetzbetrag:</w:t>
      </w:r>
      <w:r>
        <w:rPr>
          <w:rFonts w:ascii="Arial" w:hAnsi="Arial" w:eastAsia="Arial" w:cs="Arial"/>
          <w:color w:val="000000"/>
          <w:sz w:val="20"/>
          <w:szCs w:val="20"/>
        </w:rPr>
        <w:t xml:space="preserve"> Arbeitnehmer
mit einem geringeren Einkommen können im Rahmen der
Arbeitnehmerveranlagung einen Zuschlag zum Verkehrsabsetzbetrag
geltend machen. Im Jahr 2025 erhöht sich der Verkehrsabsetzbetrag
um EUR 790,–, wenn das Einkommen des Arbeitnehmers
EUR 19.424,– im Kalenderjahr nicht übersteigt. Der Zuschlag
vermindert sich jedoch zwischen Einkommen von EUR 19.424,– und
EUR 29.743, – gleichmäßig einschleifend auf EUR 0,–.</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Verkehrsabsetzbetrag 2024</w:t>
      </w:r>
    </w:p>
    <w:p>
      <w:pPr>
        <w:widowControl w:val="on"/>
        <w:pBdr/>
        <w:spacing w:before="140" w:after="240" w:line="288" w:lineRule="auto"/>
        <w:ind w:left="0" w:right="0"/>
        <w:jc w:val="left"/>
      </w:pPr>
      <w:r>
        <w:rPr>
          <w:rFonts w:ascii="Arial" w:hAnsi="Arial" w:eastAsia="Arial" w:cs="Arial"/>
          <w:color w:val="000000"/>
          <w:sz w:val="20"/>
          <w:szCs w:val="20"/>
        </w:rPr>
        <w:t xml:space="preserve">Bei Anspruch auf eine Pendlerpauschale erhöht sich der
Verkehrsabsetzbetrag ab 01.01.2024 auf EUR 798,–, wenn das
Einkommen des Steuerpflichtigen EUR 14.106,– im Kalenderjahr
nicht übersteigt. Der erhöhte Verkehrsabsetzbetrag vermindert sich
ab 01.01.2024 zwischen Einkommen von EUR 14.106,– und
EUR 15.030,– gleichmäßig einschleifend auf EUR 463,–.</w:t>
      </w:r>
    </w:p>
    <w:p>
      <w:pPr>
        <w:widowControl w:val="on"/>
        <w:pBdr/>
        <w:spacing w:before="140" w:after="240" w:line="288" w:lineRule="auto"/>
        <w:ind w:left="0" w:right="0"/>
        <w:jc w:val="left"/>
      </w:pPr>
      <w:r>
        <w:rPr>
          <w:rFonts w:ascii="Arial" w:hAnsi="Arial" w:eastAsia="Arial" w:cs="Arial"/>
          <w:color w:val="000000"/>
          <w:sz w:val="20"/>
          <w:szCs w:val="20"/>
        </w:rPr>
        <w:t xml:space="preserve">Zuschlag zum Verkehrsabsetzbetrag: Arbeitnehmer mit einem
geringeren Einkommen können im Rahmen der Arbeitnehmerveranlagung
einen Zuschlag zum Verkehrsabsetzbetrag geltend machen. Ab
01.01.2024 erhöht sich der Verkehrsabsetzbetrag um EUR 752–,
wenn das Einkommen des Arbeitnehmers EUR 18.499,– im
Kalenderjahr nicht übersteigt. Der Zuschlag vermindert sich jedoch
zwischen Einkommen von EUR 18.499,– und EUR 28.326,–
gleichmäßig einschleifend auf EUR 0,–.</w:t>
      </w:r>
    </w:p>
    <w:p>
      <w:pPr>
        <w:widowControl w:val="on"/>
        <w:pBdr/>
        <w:spacing w:before="200" w:after="200" w:line="300" w:lineRule="auto"/>
        <w:ind w:left="0" w:right="0"/>
        <w:jc w:val="left"/>
        <w:outlineLvl w:val="2"/>
      </w:pPr>
      <w:bookmarkStart w:id="55309830" w:name="_Toc144896351"/>
      <w:bookmarkEnd w:id="55309830"/>
      <w:r>
        <w:rPr>
          <w:rFonts w:ascii="Arial" w:hAnsi="Arial" w:eastAsia="Arial" w:cs="Arial"/>
          <w:b/>
          <w:bCs/>
          <w:color w:val="363A40"/>
          <w:sz w:val="22"/>
          <w:szCs w:val="22"/>
        </w:rPr>
        <w:t xml:space="preserve">Verkehrsabsetzbetrag
2023</w:t>
      </w:r>
    </w:p>
    <w:p>
      <w:pPr>
        <w:widowControl w:val="on"/>
        <w:pBdr/>
        <w:spacing w:before="140" w:after="240" w:line="288" w:lineRule="auto"/>
        <w:ind w:left="0" w:right="0"/>
        <w:jc w:val="left"/>
      </w:pPr>
      <w:r>
        <w:rPr>
          <w:rFonts w:ascii="Arial" w:hAnsi="Arial" w:eastAsia="Arial" w:cs="Arial"/>
          <w:color w:val="000000"/>
          <w:sz w:val="20"/>
          <w:szCs w:val="20"/>
        </w:rPr>
        <w:t xml:space="preserve">Allen Arbeitnehmern, die Einkünfte aus einem bestehenden
Dienstverhältnis beziehen, steht ab 01.01.2023 ein
Verkehrsabsetzbetrag von jährlich EUR 421,– (davor:
EUR 400,–) zu. Dies gilt auch dann, wenn die Arbeitnehmer
nicht dem Lohnsteuerabzug unterliegen. Der Verkehrsabsetzbetrag ist
von jedem Arbeitgeber, der Bezüge auszahlt, zu berücksichtigen.</w:t>
      </w:r>
    </w:p>
    <w:p>
      <w:pPr>
        <w:widowControl w:val="on"/>
        <w:pBdr/>
        <w:spacing w:before="140" w:after="240" w:line="288" w:lineRule="auto"/>
        <w:ind w:left="0" w:right="0"/>
        <w:jc w:val="left"/>
      </w:pPr>
      <w:r>
        <w:rPr>
          <w:rFonts w:ascii="Arial" w:hAnsi="Arial" w:eastAsia="Arial" w:cs="Arial"/>
          <w:color w:val="000000"/>
          <w:sz w:val="20"/>
          <w:szCs w:val="20"/>
        </w:rPr>
        <w:t xml:space="preserve">Bei Anspruch auf eine Pendlerpauschale erhöht sich der
Verkehrsabsetzbetrag ab 01.01.2023 auf EUR 726,– (davor:
EUR 690,–), wenn das Einkommen des Steuerpflichtigen
EUR 12.835,– (davor: EUR 12.200,–) im Kalenderjahr nicht
übersteigt. Der erhöhte Verkehrsabsetzbetrag vermindert sich ab
01.01.2023 zwischen Einkommen von EUR 12.835,– (davor:
EUR 12.200,–) und EUR 13.676,– (davor: EUR 13.000,–)
gleichmäßig einschleifend auf EUR 421,– (davor:
EUR 400,–).</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Negativsteuer – Veranlagungsjahr 2026</w:t>
      </w:r>
    </w:p>
    <w:p>
      <w:pPr>
        <w:widowControl w:val="on"/>
        <w:pBdr/>
        <w:spacing w:before="140" w:after="240" w:line="288" w:lineRule="auto"/>
        <w:ind w:left="0" w:right="0"/>
        <w:jc w:val="left"/>
      </w:pPr>
      <w:r>
        <w:rPr>
          <w:rFonts w:ascii="Arial" w:hAnsi="Arial" w:eastAsia="Arial" w:cs="Arial"/>
          <w:color w:val="000000"/>
          <w:sz w:val="20"/>
          <w:szCs w:val="20"/>
        </w:rPr>
        <w:t xml:space="preserve">Ist die nach § 33 Abs 1 und 2 EStG errechnete
Einkommensteuer unter null, so sind der Alleinverdienerabsetzbetrag
oder der Alleinerzieherabsetzbetrag zu erstatten.</w:t>
      </w:r>
    </w:p>
    <w:p>
      <w:pPr>
        <w:widowControl w:val="on"/>
        <w:pBdr/>
        <w:spacing w:before="140" w:after="240" w:line="288" w:lineRule="auto"/>
        <w:ind w:left="0" w:right="0"/>
        <w:jc w:val="left"/>
      </w:pPr>
      <w:r>
        <w:rPr>
          <w:rFonts w:ascii="Arial" w:hAnsi="Arial" w:eastAsia="Arial" w:cs="Arial"/>
          <w:color w:val="000000"/>
          <w:sz w:val="20"/>
          <w:szCs w:val="20"/>
        </w:rPr>
        <w:t xml:space="preserve">Ergibt sich bei Arbeitnehmern, die Anspruch auf den
Verkehrsabsetzbetrag haben, eine Einkommensteuer unter null, sind
55 % bestimmter Werbungskosten (ausgenommen
Betriebsratsumlagen) sowie der SV-Beiträge, höchstens aber
EUR 496– jährlich bzw bei Anspruch auf eine Pendlerpauschale,
höchstens EUR 750,– gutzuschreiben. Bei Arbeitnehmern, die
Anspruch auf den Zuschlag zum Verkehrsabsetzbetrag (§ 33
Abs 5 Z 3 EStG) haben, ist der maximale Betrag der
SV-Rückerstattung um EUR 804,– zu erhöhen (SV-Bonus).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Negativsteuer – Veranlagungsjahr 2025</w:t>
      </w:r>
    </w:p>
    <w:p>
      <w:pPr>
        <w:widowControl w:val="on"/>
        <w:pBdr/>
        <w:spacing w:before="140" w:after="240" w:line="288" w:lineRule="auto"/>
        <w:ind w:left="0" w:right="0"/>
        <w:jc w:val="left"/>
      </w:pPr>
      <w:r>
        <w:rPr>
          <w:rFonts w:ascii="Arial" w:hAnsi="Arial" w:eastAsia="Arial" w:cs="Arial"/>
          <w:color w:val="000000"/>
          <w:sz w:val="20"/>
          <w:szCs w:val="20"/>
        </w:rPr>
        <w:t xml:space="preserve">Ist die nach § 33 Abs 1 und 2 EStG errechnete
Einkommensteuer unter null, so sind der Alleinverdienerabsetzbetrag
oder der Alleinerzieherabsetzbetrag zu erstatten.</w:t>
      </w:r>
    </w:p>
    <w:p>
      <w:pPr>
        <w:widowControl w:val="on"/>
        <w:pBdr/>
        <w:spacing w:before="140" w:after="240" w:line="288" w:lineRule="auto"/>
        <w:ind w:left="0" w:right="0"/>
        <w:jc w:val="left"/>
      </w:pPr>
      <w:r>
        <w:rPr>
          <w:rFonts w:ascii="Arial" w:hAnsi="Arial" w:eastAsia="Arial" w:cs="Arial"/>
          <w:color w:val="000000"/>
          <w:sz w:val="20"/>
          <w:szCs w:val="20"/>
        </w:rPr>
        <w:t xml:space="preserve">Ergibt sich bei Arbeitnehmern, die Anspruch auf den
Verkehrsabsetzbetrag haben, eine Einkommensteuer unter null, sind
55 % bestimmter Werbungskosten (ausgenommen
Betriebsratsumlagen) sowie der SV-Beiträge, höchstens aber
EUR 487– jährlich bzw bei Anspruch auf eine Pendlerpauschale,
höchstens EUR 608,– gutzuschreiben. Bei Arbeitnehmern, die
Anspruch auf den Zuschlag zum Verkehrsabsetzbetrag (§ 33
Abs 5 Z 3 EStG) haben, ist der maximale Betrag der
SV-Rückerstattung um EUR 790,– zu erhöhen (SV-Bonus).</w:t>
      </w:r>
    </w:p>
    <w:p>
      <w:pPr>
        <w:widowControl w:val="on"/>
        <w:pBdr/>
        <w:spacing w:before="200" w:after="200" w:line="300" w:lineRule="auto"/>
        <w:ind w:left="0" w:right="0"/>
        <w:jc w:val="left"/>
        <w:outlineLvl w:val="2"/>
      </w:pPr>
      <w:bookmarkStart w:id="15489264" w:name="_Toc144896352"/>
      <w:bookmarkEnd w:id="15489264"/>
      <w:r>
        <w:rPr>
          <w:rFonts w:ascii="Arial" w:hAnsi="Arial" w:eastAsia="Arial" w:cs="Arial"/>
          <w:b/>
          <w:bCs/>
          <w:color w:val="363A40"/>
          <w:sz w:val="22"/>
          <w:szCs w:val="22"/>
        </w:rPr>
        <w:t xml:space="preserve">Negativsteuer –
Veranlagungsjahr 2024</w:t>
      </w:r>
    </w:p>
    <w:p>
      <w:pPr>
        <w:widowControl w:val="on"/>
        <w:pBdr/>
        <w:spacing w:before="140" w:after="240" w:line="288" w:lineRule="auto"/>
        <w:ind w:left="0" w:right="0"/>
        <w:jc w:val="left"/>
      </w:pPr>
      <w:r>
        <w:rPr>
          <w:rFonts w:ascii="Arial" w:hAnsi="Arial" w:eastAsia="Arial" w:cs="Arial"/>
          <w:color w:val="000000"/>
          <w:sz w:val="20"/>
          <w:szCs w:val="20"/>
        </w:rPr>
        <w:t xml:space="preserve">Ergibt sich bei Arbeitnehmern, die Anspruch auf den
Verkehrsabsetzbetrag haben, eine Einkommensteuer unter null, sind
55 % bestimmter Werbungskosten (ausgenommen
Betriebsratsumlagen) sowie der SV-Beiträge, höchstens aber
EUR 463– jährlich bzw bei Anspruch auf eine Pendlerpauschale,
höchstens EUR 579,– gutzuschreiben. Bei Arbeitnehmern, die
Anspruch auf den Zuschlag zum Verkehrsabsetzbetrag (§ 33
Abs 5 Z 3 EStG) haben, ist der maximale Betrag der
SV-Rückerstattung um EUR 752,– zu erhöhen (SV-Bonus).</w:t>
      </w:r>
    </w:p>
    <w:p>
      <w:pPr>
        <w:widowControl w:val="on"/>
        <w:pBdr/>
        <w:spacing w:before="200" w:after="200" w:line="300" w:lineRule="auto"/>
        <w:ind w:left="0" w:right="0"/>
        <w:jc w:val="left"/>
        <w:outlineLvl w:val="2"/>
      </w:pPr>
      <w:bookmarkStart w:id="56662817" w:name="_Toc144896353"/>
      <w:bookmarkEnd w:id="56662817"/>
      <w:r>
        <w:rPr>
          <w:rFonts w:ascii="Arial" w:hAnsi="Arial" w:eastAsia="Arial" w:cs="Arial"/>
          <w:b/>
          <w:bCs/>
          <w:color w:val="363A40"/>
          <w:sz w:val="22"/>
          <w:szCs w:val="22"/>
        </w:rPr>
        <w:t xml:space="preserve">Negativsteuer –
Veranlagungsjahr 2023</w:t>
      </w:r>
    </w:p>
    <w:p>
      <w:pPr>
        <w:widowControl w:val="on"/>
        <w:pBdr/>
        <w:spacing w:before="140" w:after="240" w:line="288" w:lineRule="auto"/>
        <w:ind w:left="0" w:right="0"/>
        <w:jc w:val="left"/>
      </w:pPr>
      <w:r>
        <w:rPr>
          <w:rFonts w:ascii="Arial" w:hAnsi="Arial" w:eastAsia="Arial" w:cs="Arial"/>
          <w:color w:val="000000"/>
          <w:sz w:val="20"/>
          <w:szCs w:val="20"/>
        </w:rPr>
        <w:t xml:space="preserve">Ist die nach § 33 Abs 1 und 2 EStG errechnete
Einkommensteuer unter null, so sind der Alleinverdienerabsetzbetrag
oder der Alleinerzieherabsetzbetrag zu erstatten.</w:t>
      </w:r>
    </w:p>
    <w:p>
      <w:pPr>
        <w:widowControl w:val="on"/>
        <w:pBdr/>
        <w:spacing w:before="140" w:after="240" w:line="288" w:lineRule="auto"/>
        <w:ind w:left="0" w:right="0"/>
        <w:jc w:val="left"/>
      </w:pPr>
      <w:r>
        <w:rPr>
          <w:rFonts w:ascii="Arial" w:hAnsi="Arial" w:eastAsia="Arial" w:cs="Arial"/>
          <w:color w:val="000000"/>
          <w:sz w:val="20"/>
          <w:szCs w:val="20"/>
        </w:rPr>
        <w:t xml:space="preserve">Ergibt sich bei Arbeitnehmern, die Anspruch auf den
Verkehrsabsetzbetrag haben, eine Einkommensteuer unter null, sind
55 % bestimmter Werbungskosten (§ 16 Abs 1 Z 3
lit a, ausgenommen Betriebsratsumlagen) sowie der SV-Beiträge
(§ 16 Abs 1 Z 4 und 5), höchstens aber
EUR 421,– jährlich bzw bei Anspruch auf eine Pendlerpauschale,
höchstens EUR 526,– gutzuschreiben. Bei Arbeitnehmern, die
Anspruch auf den Zuschlag zum Verkehrsabsetzbetrag (§ 33
Abs 5 Z 3 EStG) haben, ist der maximale Betrag der
SV-Rückerstattung um EUR 684,– zu erhöhen (SV-Bonus).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Alleinverdiener- und Alleinerzieherabsetzbetrag 2024 bis
2026</w:t>
      </w:r>
    </w:p>
    <w:p>
      <w:pPr>
        <w:widowControl w:val="on"/>
        <w:pBdr/>
        <w:spacing w:before="140" w:after="240" w:line="288" w:lineRule="auto"/>
        <w:ind w:left="0" w:right="0"/>
        <w:jc w:val="left"/>
      </w:pPr>
      <w:r>
        <w:rPr>
          <w:rFonts w:ascii="Arial" w:hAnsi="Arial" w:eastAsia="Arial" w:cs="Arial"/>
          <w:color w:val="000000"/>
          <w:sz w:val="20"/>
          <w:szCs w:val="20"/>
        </w:rPr>
        <w:t xml:space="preserve">Einem Alleinverdiener steht ein jährlicher
Alleinverdienerabsetzbetrag (AVAB) zu. Der AVAB beträgt</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AVAB/AEAB</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2026</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einem Kind</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572,00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601,00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612,00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zwei Kindern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774,00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813,00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828,00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 drei Kindern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1.029,00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1.081,00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1.101,00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jedes weitere Kind</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255,00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268,00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273,00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Zuverdienstgrenze Alleinverdienerabsetzbetrag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6.937,00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7.284,00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7.411,00</w:t>
            </w:r>
          </w:p>
        </w:tc>
      </w:tr>
    </w:tbl>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Zulagen und Zuschläge</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Ab 2026</w:t>
      </w:r>
    </w:p>
    <w:p>
      <w:pPr>
        <w:widowControl w:val="on"/>
        <w:pBdr/>
        <w:spacing w:before="140" w:after="240" w:line="288" w:lineRule="auto"/>
        <w:ind w:left="0" w:right="0"/>
        <w:jc w:val="left"/>
      </w:pPr>
      <w:r>
        <w:rPr>
          <w:rFonts w:ascii="Arial" w:hAnsi="Arial" w:eastAsia="Arial" w:cs="Arial"/>
          <w:color w:val="000000"/>
          <w:sz w:val="20"/>
          <w:szCs w:val="20"/>
        </w:rPr>
        <w:t xml:space="preserve">Zuschläge für die ersten 15 Überstunden pro Monat sind bis zu
einem Betrag von EUR 170,– steuerfrei.</w:t>
      </w:r>
    </w:p>
    <w:p>
      <w:pPr>
        <w:widowControl w:val="on"/>
        <w:pBdr/>
        <w:spacing w:before="140" w:after="240" w:line="288" w:lineRule="auto"/>
        <w:ind w:left="0" w:right="0"/>
        <w:jc w:val="left"/>
      </w:pPr>
      <w:r>
        <w:rPr>
          <w:rFonts w:ascii="Arial" w:hAnsi="Arial" w:eastAsia="Arial" w:cs="Arial"/>
          <w:color w:val="000000"/>
          <w:sz w:val="20"/>
          <w:szCs w:val="20"/>
        </w:rPr>
        <w:t xml:space="preserve">Der Freibetrag für SFN-Zuschläge und SEG-Zulagen beträgt
monatlich EUR 400,–</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2024, 2025</w:t>
      </w:r>
    </w:p>
    <w:p>
      <w:pPr>
        <w:widowControl w:val="on"/>
        <w:pBdr/>
        <w:spacing w:before="140" w:after="240" w:line="288" w:lineRule="auto"/>
        <w:ind w:left="0" w:right="0"/>
        <w:jc w:val="left"/>
      </w:pPr>
      <w:r>
        <w:rPr>
          <w:rFonts w:ascii="Arial" w:hAnsi="Arial" w:eastAsia="Arial" w:cs="Arial"/>
          <w:color w:val="000000"/>
          <w:sz w:val="20"/>
          <w:szCs w:val="20"/>
        </w:rPr>
        <w:t xml:space="preserve">01.01.2024 bis 31.12.2025</w:t>
      </w:r>
    </w:p>
    <w:p>
      <w:pPr>
        <w:widowControl w:val="on"/>
        <w:pBdr/>
        <w:spacing w:before="140" w:after="240" w:line="288" w:lineRule="auto"/>
        <w:ind w:left="0" w:right="0"/>
        <w:jc w:val="left"/>
      </w:pPr>
      <w:r>
        <w:rPr>
          <w:rFonts w:ascii="Arial" w:hAnsi="Arial" w:eastAsia="Arial" w:cs="Arial"/>
          <w:color w:val="000000"/>
          <w:sz w:val="20"/>
          <w:szCs w:val="20"/>
        </w:rPr>
        <w:t xml:space="preserve">Die Zuschläge für die ersten 18 Überstunden im Monat sind im
Ausmaß von höchstens 50 % des Grundlohnes, insgesamt höchstens
jedoch EUR 200,– steuerfrei</w:t>
      </w:r>
    </w:p>
    <w:p>
      <w:pPr>
        <w:widowControl w:val="on"/>
        <w:pBdr/>
        <w:spacing w:before="140" w:after="240" w:line="288" w:lineRule="auto"/>
        <w:ind w:left="0" w:right="0"/>
        <w:jc w:val="left"/>
      </w:pPr>
      <w:r>
        <w:rPr>
          <w:rFonts w:ascii="Arial" w:hAnsi="Arial" w:eastAsia="Arial" w:cs="Arial"/>
          <w:color w:val="000000"/>
          <w:sz w:val="20"/>
          <w:szCs w:val="20"/>
        </w:rPr>
        <w:t xml:space="preserve">Der Freibetrag für SFN-Zuschläge und SEG-Zulagen beträgt
monatlich EUR 400,–</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2023</w:t>
      </w:r>
    </w:p>
    <w:p>
      <w:pPr>
        <w:widowControl w:val="on"/>
        <w:pBdr/>
        <w:spacing w:before="140" w:after="240" w:line="288" w:lineRule="auto"/>
        <w:ind w:left="0" w:right="0"/>
        <w:jc w:val="left"/>
      </w:pPr>
      <w:r>
        <w:rPr>
          <w:rFonts w:ascii="Arial" w:hAnsi="Arial" w:eastAsia="Arial" w:cs="Arial"/>
          <w:color w:val="000000"/>
          <w:sz w:val="20"/>
          <w:szCs w:val="20"/>
        </w:rPr>
        <w:t xml:space="preserve">Zuschläge für die ersten zehn Überstunden im Monat sind im
Ausmaß von höchstens 50 % des Grundlohnes, insgesamt höchstens
EUR 86,– monatlich steuerfrei.</w:t>
      </w:r>
    </w:p>
    <w:p>
      <w:pPr>
        <w:widowControl w:val="on"/>
        <w:pBdr/>
        <w:spacing w:before="140" w:after="240" w:line="288" w:lineRule="auto"/>
        <w:ind w:left="0" w:right="0"/>
        <w:jc w:val="left"/>
      </w:pPr>
      <w:r>
        <w:rPr>
          <w:rFonts w:ascii="Arial" w:hAnsi="Arial" w:eastAsia="Arial" w:cs="Arial"/>
          <w:color w:val="000000"/>
          <w:sz w:val="20"/>
          <w:szCs w:val="20"/>
        </w:rPr>
        <w:t xml:space="preserve">Der Freibetrag für SFN-Zuschläge und SEG-Zulagen beträgt
monatlich EUR 360,–</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Sozialversicherungswerte 2023 bis 2026</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Höchstbemessungsgrundlage, Geringfügigkeitsgrenze (Beträge in
EUR)</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5775"/>
        <w:gridCol w:w="1530"/>
        <w:gridCol w:w="1590"/>
        <w:gridCol w:w="1620"/>
        <w:gridCol w:w="1560"/>
      </w:tblGrid>
      <w:tr>
        <w:trPr>
          <w:trHeight w:val="0" w:hRule="atLeast"/>
        </w:trPr>
        <w:tc>
          <w:tcPr>
            <w:tcW w:w="57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SV-Werte</w:t>
            </w:r>
          </w:p>
        </w:tc>
        <w:tc>
          <w:tcPr>
            <w:tcW w:w="153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2026</w:t>
            </w:r>
          </w:p>
        </w:tc>
        <w:tc>
          <w:tcPr>
            <w:tcW w:w="159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2025</w:t>
            </w:r>
          </w:p>
        </w:tc>
        <w:tc>
          <w:tcPr>
            <w:tcW w:w="16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2024</w:t>
            </w:r>
          </w:p>
        </w:tc>
        <w:tc>
          <w:tcPr>
            <w:tcW w:w="15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2023</w:t>
            </w:r>
          </w:p>
        </w:tc>
      </w:tr>
      <w:tr>
        <w:trPr>
          <w:trHeight w:val="0" w:hRule="atLeast"/>
        </w:trPr>
        <w:tc>
          <w:tcPr>
            <w:tcW w:w="57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Geringfügigkeitsgrenze monatlich</w:t>
            </w:r>
          </w:p>
        </w:tc>
        <w:tc>
          <w:tcPr>
            <w:tcW w:w="153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551,10</w:t>
            </w:r>
          </w:p>
        </w:tc>
        <w:tc>
          <w:tcPr>
            <w:tcW w:w="159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551,10</w:t>
            </w:r>
          </w:p>
        </w:tc>
        <w:tc>
          <w:tcPr>
            <w:tcW w:w="16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518,44</w:t>
            </w:r>
          </w:p>
        </w:tc>
        <w:tc>
          <w:tcPr>
            <w:tcW w:w="15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500,91</w:t>
            </w:r>
          </w:p>
        </w:tc>
      </w:tr>
      <w:tr>
        <w:trPr>
          <w:trHeight w:val="0" w:hRule="atLeast"/>
        </w:trPr>
        <w:tc>
          <w:tcPr>
            <w:tcW w:w="57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Grenzwert für pauschalierte Dienstgeberabgabe</w:t>
            </w:r>
          </w:p>
        </w:tc>
        <w:tc>
          <w:tcPr>
            <w:tcW w:w="153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826,65</w:t>
            </w:r>
          </w:p>
        </w:tc>
        <w:tc>
          <w:tcPr>
            <w:tcW w:w="159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826,65</w:t>
            </w:r>
          </w:p>
        </w:tc>
        <w:tc>
          <w:tcPr>
            <w:tcW w:w="16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777,66</w:t>
            </w:r>
          </w:p>
        </w:tc>
        <w:tc>
          <w:tcPr>
            <w:tcW w:w="15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751,37</w:t>
            </w:r>
          </w:p>
        </w:tc>
      </w:tr>
      <w:tr>
        <w:trPr>
          <w:trHeight w:val="0" w:hRule="atLeast"/>
        </w:trPr>
        <w:tc>
          <w:tcPr>
            <w:tcW w:w="57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Höchstbeitragsgrundlage täglich</w:t>
            </w:r>
          </w:p>
        </w:tc>
        <w:tc>
          <w:tcPr>
            <w:tcW w:w="153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231,00</w:t>
            </w:r>
          </w:p>
        </w:tc>
        <w:tc>
          <w:tcPr>
            <w:tcW w:w="159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215,00</w:t>
            </w:r>
          </w:p>
        </w:tc>
        <w:tc>
          <w:tcPr>
            <w:tcW w:w="16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202,00</w:t>
            </w:r>
          </w:p>
        </w:tc>
        <w:tc>
          <w:tcPr>
            <w:tcW w:w="15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195,00</w:t>
            </w:r>
          </w:p>
        </w:tc>
      </w:tr>
      <w:tr>
        <w:trPr>
          <w:trHeight w:val="0" w:hRule="atLeast"/>
        </w:trPr>
        <w:tc>
          <w:tcPr>
            <w:tcW w:w="57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Höchstbeitragsgrundlage monatlich</w:t>
            </w:r>
          </w:p>
        </w:tc>
        <w:tc>
          <w:tcPr>
            <w:tcW w:w="153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6.930,00</w:t>
            </w:r>
          </w:p>
        </w:tc>
        <w:tc>
          <w:tcPr>
            <w:tcW w:w="159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6.450,00</w:t>
            </w:r>
          </w:p>
        </w:tc>
        <w:tc>
          <w:tcPr>
            <w:tcW w:w="16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6.060,00</w:t>
            </w:r>
          </w:p>
        </w:tc>
        <w:tc>
          <w:tcPr>
            <w:tcW w:w="15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5.850,00</w:t>
            </w:r>
          </w:p>
        </w:tc>
      </w:tr>
      <w:tr>
        <w:trPr>
          <w:trHeight w:val="0" w:hRule="atLeast"/>
        </w:trPr>
        <w:tc>
          <w:tcPr>
            <w:tcW w:w="57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Höchstbeitragsgrundlage monatlich für freie DN ohne
Sonderzahlungen; GSVG, BSVG</w:t>
            </w:r>
          </w:p>
        </w:tc>
        <w:tc>
          <w:tcPr>
            <w:tcW w:w="153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8.085,00</w:t>
            </w:r>
          </w:p>
        </w:tc>
        <w:tc>
          <w:tcPr>
            <w:tcW w:w="159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7.525,00</w:t>
            </w:r>
          </w:p>
        </w:tc>
        <w:tc>
          <w:tcPr>
            <w:tcW w:w="16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7.070,00</w:t>
            </w:r>
          </w:p>
        </w:tc>
        <w:tc>
          <w:tcPr>
            <w:tcW w:w="15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6.825,00</w:t>
            </w:r>
          </w:p>
        </w:tc>
      </w:tr>
      <w:tr>
        <w:trPr>
          <w:trHeight w:val="0" w:hRule="atLeast"/>
        </w:trPr>
        <w:tc>
          <w:tcPr>
            <w:tcW w:w="57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Höchstbeitragsgrundlage (jährlich) für Sonderzahlungen</w:t>
            </w:r>
          </w:p>
        </w:tc>
        <w:tc>
          <w:tcPr>
            <w:tcW w:w="153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13.860,00</w:t>
            </w:r>
          </w:p>
        </w:tc>
        <w:tc>
          <w:tcPr>
            <w:tcW w:w="159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12.900,00</w:t>
            </w:r>
          </w:p>
        </w:tc>
        <w:tc>
          <w:tcPr>
            <w:tcW w:w="16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12.120,00</w:t>
            </w:r>
          </w:p>
        </w:tc>
        <w:tc>
          <w:tcPr>
            <w:tcW w:w="15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11.700,00</w:t>
            </w:r>
          </w:p>
        </w:tc>
      </w:tr>
      <w:tr>
        <w:trPr>
          <w:trHeight w:val="0" w:hRule="atLeast"/>
        </w:trPr>
        <w:tc>
          <w:tcPr>
            <w:tcW w:w="57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Aufwertungszahl</w:t>
            </w:r>
          </w:p>
        </w:tc>
        <w:tc>
          <w:tcPr>
            <w:tcW w:w="153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1,073</w:t>
            </w:r>
          </w:p>
        </w:tc>
        <w:tc>
          <w:tcPr>
            <w:tcW w:w="159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1,063</w:t>
            </w:r>
          </w:p>
        </w:tc>
        <w:tc>
          <w:tcPr>
            <w:tcW w:w="162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1,035</w:t>
            </w:r>
          </w:p>
        </w:tc>
        <w:tc>
          <w:tcPr>
            <w:tcW w:w="156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1,031</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Höchstbemessungsgrundlage 2026 (pro Tag)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SV-Tage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SV-Tage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SV-Tage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231,00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2.541,00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4.851,00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462,00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2.772,00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5.082,00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693,00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3.003,00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5.313,00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924,00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3.234,00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5.544,00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1.155,00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3.465,00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5.775,00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1.386,00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3.696,00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6.006,00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1.617,00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3.927,00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6.237,00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1.848,00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4.158,00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6.468,00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2.079,00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4.389,00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6.699,00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2.310,00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4.620,00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30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6.930,00</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Höchstbemessungsgrundlage 2025 (pro Tag)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SV-Tage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SV-Tage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SV-Tage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215,00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2.365,00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4.515,00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430,00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2.580,00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4.730,00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645,00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2.795,00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4.945,00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860,00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3.010,00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5.160,00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1.075,00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3.225,00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5.375,00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1.290,00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3.440,00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5.590,00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1.505,00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3.655,00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5.805,00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1.720,00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3.870,00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6.020,00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1.935,00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4.085,00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6.235,00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2.150,00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4.300,00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30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6.450,00</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Höchstbeitragsgrundlagen gelten auch für die
Arbeiterkammerumlage, den Wohnbauförderungsbeitrag, die
Landarbeiterkammerumlage, den Schlechtwetterentschädigungsbeitrag,
den IESG-Zuschlag und den Beitrag nach dem
Nachtschwerarbeitsgesetz.</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Höchstbemessungsgrundlage 2024 (pro Tag)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SV-Tage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SV-Tage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SV-Tage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EUR</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202,00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2.222,00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4.242,00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404,00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2.424,00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4.444,00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606,00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2.626,00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4.646,00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808,00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2.828,00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4.848,00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1.010,00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3.030,00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5.050,00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1.212,00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3.232,00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5.252,00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1.414,00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3.434,00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5.454,00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1.616,00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3.636,00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5.656,00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1.818,00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19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3.838,00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5.858,00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2.020,00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20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4.040,00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color w:val="000000"/>
                <w:position w:val="0"/>
                <w:sz w:val="20"/>
                <w:szCs w:val="20"/>
                <w:shd w:val="clear" w:color="auto" w:fill="FFFFFF"/>
              </w:rPr>
              <w:t xml:space="preserve">30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6.060,00</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Höchstbeitragsgrundlagen gelten auch für die
Arbeiterkammerumlage, den Wohnbauförderungsbeitrag, die
Landarbeiterkammerumlage, den Schlechtwetterentschädigungsbeitrag,
den IESG-Zuschlag und den Beitrag nach dem
Nachtschwerarbeitsgesetz.</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UV-Beitrag 2026</w:t>
      </w:r>
    </w:p>
    <w:p>
      <w:pPr>
        <w:widowControl w:val="on"/>
        <w:pBdr/>
        <w:spacing w:before="140" w:after="240" w:line="288" w:lineRule="auto"/>
        <w:ind w:left="0" w:right="0"/>
        <w:jc w:val="left"/>
      </w:pPr>
      <w:r>
        <w:rPr>
          <w:rFonts w:ascii="Arial" w:hAnsi="Arial" w:eastAsia="Arial" w:cs="Arial"/>
          <w:color w:val="000000"/>
          <w:sz w:val="20"/>
          <w:szCs w:val="20"/>
        </w:rPr>
        <w:t xml:space="preserve">Der Unfallversicherungsbeitrag beträgt im Jahr 2026 unverändert
1,1 %.</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Sonstige Beiträge und Umlagen 2023 bis 2026</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Beiträge, Umlagen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Gesamt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DG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DN</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Kammerumlage (KU)</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0,50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0,50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Wohnbauförderungsbeitrag (WF)</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Ausnahme Wien ab 01.01.2026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1,00</w:t>
            </w:r>
          </w:p>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1,50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0,50</w:t>
            </w:r>
          </w:p>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0,75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0,50</w:t>
            </w:r>
          </w:p>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0,75</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Landarbeiterkammerumlage (LK)</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0,75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0,75</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Beitrag für betriebliche Vorsorge (BV)</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1,53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1,53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Schlechtwetterentschädigungsbeitrag (SW)</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0,70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0,70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Insolvenzentgeltsicherungsbeitrag (IE)*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0,10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0,10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Nachtschwerarbeiterbeitrag (NB)</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3,70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3,70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bl>
    <w:p>
      <w:pPr>
        <w:widowControl w:val="on"/>
        <w:pBdr/>
        <w:spacing w:before="140" w:after="240" w:line="288" w:lineRule="auto"/>
        <w:ind w:left="0" w:right="0"/>
        <w:jc w:val="left"/>
      </w:pPr>
      <w:r>
        <w:rPr>
          <w:rFonts w:ascii="Arial" w:hAnsi="Arial" w:eastAsia="Arial" w:cs="Arial"/>
          <w:color w:val="000000"/>
          <w:sz w:val="20"/>
          <w:szCs w:val="20"/>
        </w:rPr>
        <w:t xml:space="preserve">* Ab 1. Jänner 2027 entfällt die bisherige Befreiung vom
IESG-Beitrag für Personen ab Vollendung des 63. Lebensjahres. Der
IESG-Beitrag ist künftig bis zum Erreichen des gesetzlichen
Pensionsalters zu entrichten.</w:t>
      </w:r>
    </w:p>
    <w:p>
      <w:pPr>
        <w:widowControl w:val="on"/>
        <w:pBdr/>
        <w:spacing w:before="140" w:after="240" w:line="288" w:lineRule="auto"/>
        <w:ind w:left="0" w:right="0"/>
        <w:jc w:val="left"/>
      </w:pPr>
      <w:r>
        <w:rPr>
          <w:rFonts w:ascii="Arial" w:hAnsi="Arial" w:eastAsia="Arial" w:cs="Arial"/>
          <w:color w:val="000000"/>
          <w:sz w:val="20"/>
          <w:szCs w:val="20"/>
        </w:rPr>
        <w:t xml:space="preserve">Auch die bisherige Befreiung vom
Arbeitslosenversicherungsbeitrag für Personen ab Vollendung des 60.
Lebensjahres entfällt mit 1. Jänner 2027. Der
Arbeitslosenversicherungsbeitrag ist künftig ebenfalls bis zum
Erreichen des gesetzlichen Pensionsalters zu entrichten.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SV-Verzugszinsen für rückständige Beiträge 2021 bis 2025</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Zeitraum</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Zinssatz</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01.01.2021 bis 31.03.2021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3,38 %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01.04.2021 bis 30.09.2022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1,38 %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01.10.2022 bis 31.12.2022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3,38 %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01.01.2023 bis 31.12.2023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4,63 %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01.01.2024 bis 31.12.2024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7,88 %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01.01.2025 bis 31.12.2025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7,03 %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01.01.2026 bis 31.12.2026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5,53 %</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Reduzierter AlV-Beitrag für Niedrigverdiener</w:t>
      </w:r>
    </w:p>
    <w:p>
      <w:pPr>
        <w:widowControl w:val="on"/>
        <w:pBdr/>
        <w:spacing w:before="140" w:after="240" w:line="288" w:lineRule="auto"/>
        <w:ind w:left="0" w:right="0"/>
        <w:jc w:val="left"/>
      </w:pPr>
      <w:r>
        <w:rPr>
          <w:rFonts w:ascii="Arial" w:hAnsi="Arial" w:eastAsia="Arial" w:cs="Arial"/>
          <w:color w:val="000000"/>
          <w:sz w:val="20"/>
          <w:szCs w:val="20"/>
        </w:rPr>
        <w:t xml:space="preserve">Der Arbeitslosenversicherungsbeitrag beträgt grundsätzlich
5,9 % (bis 31.12.2023: 6 %), welchen Dienstgeber bzw
Dienstnehmer in der Regel zu je 50 % zu leisten haben. Bei
Niedrigverdiener gilt es jedoch folgenden reduzierten AIV-Beitrag
zu beachten:</w:t>
      </w:r>
    </w:p>
    <w:p>
      <w:pPr>
        <w:widowControl w:val="on"/>
        <w:pBdr/>
        <w:spacing w:before="140" w:after="240" w:line="288" w:lineRule="auto"/>
        <w:ind w:left="0" w:right="0"/>
        <w:jc w:val="left"/>
      </w:pPr>
      <w:r>
        <w:rPr>
          <w:rFonts w:ascii="Arial" w:hAnsi="Arial" w:eastAsia="Arial" w:cs="Arial"/>
          <w:color w:val="000000"/>
          <w:sz w:val="20"/>
          <w:szCs w:val="20"/>
        </w:rPr>
        <w:t xml:space="preserve">Vom 01.01.2026 bis 31.12.2026 gilt folgende Staffelung: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Grenzwert 2026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Höhe AlV-Beitrag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EUR 2.225,00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Beitragsfrei</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2.225,01 bis EUR 2.427,00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2.427,01 bis EUR 2.630,00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 EUR 2.630,01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2,95 %</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Dienstgeberanteil hingegen beträgt immer 2,95 %.</w:t>
      </w:r>
    </w:p>
    <w:p>
      <w:pPr>
        <w:widowControl w:val="on"/>
        <w:pBdr/>
        <w:spacing w:before="140" w:after="240" w:line="288" w:lineRule="auto"/>
        <w:ind w:left="0" w:right="0"/>
        <w:jc w:val="left"/>
      </w:pPr>
      <w:r>
        <w:rPr>
          <w:rFonts w:ascii="Arial" w:hAnsi="Arial" w:eastAsia="Arial" w:cs="Arial"/>
          <w:color w:val="000000"/>
          <w:sz w:val="20"/>
          <w:szCs w:val="20"/>
        </w:rPr>
        <w:t xml:space="preserve">Vom 01.01.2025 bis 31.12.2025 galt folgende Staffelung: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Grenzwert 2025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Höhe AlV-Beitrag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EUR 2.074,00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Beitragsfrei</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2.074,01 bis EUR 2.262,00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2.262,01 bis EUR 2.451,00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 EUR 2.451,01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2,95 %</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Dienstgeberanteil hingegen beträgt immer 2,95 %.</w:t>
      </w:r>
    </w:p>
    <w:p>
      <w:pPr>
        <w:widowControl w:val="on"/>
        <w:pBdr/>
        <w:spacing w:before="140" w:after="240" w:line="288" w:lineRule="auto"/>
        <w:ind w:left="0" w:right="0"/>
        <w:jc w:val="left"/>
      </w:pPr>
      <w:r>
        <w:rPr>
          <w:rFonts w:ascii="Arial" w:hAnsi="Arial" w:eastAsia="Arial" w:cs="Arial"/>
          <w:color w:val="000000"/>
          <w:sz w:val="20"/>
          <w:szCs w:val="20"/>
        </w:rPr>
        <w:t xml:space="preserve">Vom 01.01.2024 bis 31.12.2024 galt folgende Staffelung: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Grenzwert 2024</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Höhe AlV-Beitrag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EUR 1.951,00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Beitragsfrei</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1.951,01 bis EUR 2.128,00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2.128,01 bis EUR 2.306,00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 EUR 2.306,01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2,95 %</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Dienstgeberanteil hingegen beträgt immer 2,95 %.</w:t>
      </w:r>
    </w:p>
    <w:p>
      <w:pPr>
        <w:widowControl w:val="on"/>
        <w:pBdr/>
        <w:spacing w:before="140" w:after="240" w:line="288" w:lineRule="auto"/>
        <w:ind w:left="0" w:right="0"/>
        <w:jc w:val="left"/>
      </w:pPr>
      <w:r>
        <w:rPr>
          <w:rFonts w:ascii="Arial" w:hAnsi="Arial" w:eastAsia="Arial" w:cs="Arial"/>
          <w:color w:val="000000"/>
          <w:sz w:val="20"/>
          <w:szCs w:val="20"/>
        </w:rPr>
        <w:t xml:space="preserve">Vom 01.01.2023 bis 31.12.2023 galt folgende Staffelung:</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Grenzwert 2023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Höhe AlV-Beitrag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EUR 1.885,00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Beitragsfrei</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1.885,01 bis EUR 2.056,00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2.056,01 bis EUR 2.228,00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 EUR 2.228,01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3 %</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Reduzierter AlV-Beitrag für Lehrlinge</w:t>
      </w:r>
    </w:p>
    <w:p>
      <w:pPr>
        <w:widowControl w:val="on"/>
        <w:pBdr/>
        <w:spacing w:before="140" w:after="240" w:line="288" w:lineRule="auto"/>
        <w:ind w:left="0" w:right="0"/>
        <w:jc w:val="left"/>
      </w:pPr>
      <w:r>
        <w:rPr>
          <w:rFonts w:ascii="Arial" w:hAnsi="Arial" w:eastAsia="Arial" w:cs="Arial"/>
          <w:color w:val="000000"/>
          <w:sz w:val="20"/>
          <w:szCs w:val="20"/>
        </w:rPr>
        <w:t xml:space="preserve">Der Arbeitslosenversicherungsbeitrag für Lehrlinge beträgt
grundsätzlich 2,3 %. Jedoch ist folgende Staffelung für
Niedrigverdiener zu beachten: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Grenzwert 2026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Höhe AlV-Beitrag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EUR 2.225,00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Beitragsfrei</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2.225,01 bis EUR 2.427,00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EUR 2.427,00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1,2 %</w:t>
            </w:r>
          </w:p>
        </w:tc>
      </w:tr>
    </w:tbl>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Grenzwert 2025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Höhe AlV-Beitrag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EUR 2.074,00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Beitragsfrei</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 2.074,01 bis EUR 2.262,00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 EUR 2.262,00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1,2 %</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Ab 01.01.2027: Schrittweise Abschaffung</w:t>
      </w:r>
    </w:p>
    <w:p>
      <w:pPr>
        <w:widowControl w:val="on"/>
        <w:pBdr/>
        <w:spacing w:before="140" w:after="240" w:line="288" w:lineRule="auto"/>
        <w:ind w:left="0" w:right="0"/>
        <w:jc w:val="left"/>
      </w:pPr>
      <w:r>
        <w:rPr>
          <w:rFonts w:ascii="Arial" w:hAnsi="Arial" w:eastAsia="Arial" w:cs="Arial"/>
          <w:color w:val="000000"/>
          <w:sz w:val="20"/>
          <w:szCs w:val="20"/>
        </w:rPr>
        <w:t xml:space="preserve">Der reduzierter Arbeitslosenversicherungsbeitrag bei geringem
Einkommen wird ab 01.01.2027 stufenweise abgeschafft. Für
Dienstverhältnisse, die bereits am 31. Dezember 2026 bestehen, ist
eine Übergangsregelung vorgesehen. So wird der Beitragssatz für die
unterste Einkommensgruppe pro Jahr um 0,5 %-Punkte erhöht,
womit der volle Dienstnehmerbeitrag (2,95 %) erst im Jahr 2032
zu entrichten ist. Für Lehrlinge endet die Erhöhung des
Dienstnehmerbeitragssatzes bereits bei 1,15 %.</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2030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2031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2032</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0,50 %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2,50 %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2,95 %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2,50 %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2,95 %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2,50 %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2,95 %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pPr>
        <w:widowControl w:val="on"/>
        <w:pBdr/>
        <w:spacing w:before="140" w:after="240" w:line="288" w:lineRule="auto"/>
        <w:ind w:left="0" w:right="0"/>
        <w:jc w:val="left"/>
      </w:pPr>
      <w:r>
        <w:rPr>
          <w:rFonts w:ascii="Arial" w:hAnsi="Arial" w:eastAsia="Arial" w:cs="Arial"/>
          <w:color w:val="000000"/>
          <w:sz w:val="20"/>
          <w:szCs w:val="20"/>
        </w:rPr>
        <w:t xml:space="preserve">Für Dienstverhältnisse, die nach dem 31. Dezember 2026 beginnen,
sind folgende Beitragssätze vorgesehen: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2029</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2,95 %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2,95 %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2,95 %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2,95 %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2,95 %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2,95 %</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Lohnnebenabgaben 2026</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Kommunalsteuer 2026</w:t>
      </w:r>
    </w:p>
    <w:p>
      <w:pPr>
        <w:widowControl w:val="on"/>
        <w:pBdr/>
        <w:spacing w:before="140" w:after="240" w:line="288" w:lineRule="auto"/>
        <w:ind w:left="0" w:right="0"/>
        <w:jc w:val="left"/>
      </w:pPr>
      <w:r>
        <w:rPr>
          <w:rFonts w:ascii="Arial" w:hAnsi="Arial" w:eastAsia="Arial" w:cs="Arial"/>
          <w:color w:val="000000"/>
          <w:sz w:val="20"/>
          <w:szCs w:val="20"/>
        </w:rPr>
        <w:t xml:space="preserve">Die Kommunalsteuer beträgt unverändert 3,00 % der
Bemessungsgrundlage. Übersteigt bei einem Unternehmen, das nur eine
einzige Betriebsstätte unterhält, die Bemessungsgrundlage im
Kalendermonat nicht EUR 1.460,– (Freigrenze), wird von ihr
EUR 1.095,– (Freibetrag) abgezogen. Daraus ergeben sich
folgende Konsequenzen: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3405"/>
        <w:gridCol w:w="3240"/>
        <w:gridCol w:w="2850"/>
      </w:tblGrid>
      <w:tr>
        <w:trPr>
          <w:trHeight w:val="0" w:hRule="atLeast"/>
        </w:trPr>
        <w:tc>
          <w:tcPr>
            <w:tcW w:w="9495" w:type="dxa"/>
            <w:gridSpan w:val="3"/>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b/>
                <w:bCs/>
                <w:color w:val="000000"/>
                <w:position w:val="0"/>
                <w:sz w:val="20"/>
                <w:szCs w:val="20"/>
                <w:shd w:val="clear" w:color="auto" w:fill="FFFFFF"/>
              </w:rPr>
              <w:t xml:space="preserve">Summe der
Arbeitslöhne</w:t>
            </w:r>
          </w:p>
        </w:tc>
      </w:tr>
      <w:tr>
        <w:trPr>
          <w:trHeight w:val="0" w:hRule="atLeast"/>
        </w:trPr>
        <w:tc>
          <w:tcPr>
            <w:tcW w:w="340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Bis EUR 1.095,00</w:t>
            </w:r>
          </w:p>
        </w:tc>
        <w:tc>
          <w:tcPr>
            <w:tcW w:w="324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Von EUR 1.095,00 bis</w:t>
            </w:r>
            <w:r>
              <w:rPr>
                <w:rFonts w:ascii="Arial" w:hAnsi="Arial" w:eastAsia="Arial" w:cs="Arial"/>
                <w:b/>
                <w:bCs/>
                <w:color w:val="000000"/>
                <w:position w:val="0"/>
                <w:sz w:val="20"/>
                <w:szCs w:val="20"/>
                <w:shd w:val="clear" w:color="auto" w:fill="FFFFFF"/>
              </w:rPr>
              <w:t xml:space="preserve">EUR 1.460,00</w:t>
            </w:r>
          </w:p>
        </w:tc>
        <w:tc>
          <w:tcPr>
            <w:tcW w:w="285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Über EUR 1.460,00</w:t>
            </w:r>
          </w:p>
        </w:tc>
      </w:tr>
      <w:tr>
        <w:trPr>
          <w:trHeight w:val="0" w:hRule="atLeast"/>
        </w:trPr>
        <w:tc>
          <w:tcPr>
            <w:tcW w:w="340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Keine Steuerpflicht</w:t>
            </w:r>
          </w:p>
        </w:tc>
        <w:tc>
          <w:tcPr>
            <w:tcW w:w="324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Kürzung der Bemessungsgrundlage um EUR 1.095,00</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3 % vom Differenzbetrag sind abzuführen</w:t>
            </w:r>
          </w:p>
        </w:tc>
        <w:tc>
          <w:tcPr>
            <w:tcW w:w="285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Entfall der Begünstigung – die volle Summe der Arbeitslöhne ist
als Bemessungsgrundlage heranzuziehen</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Dienstgeberbeitrag (DB) 2026</w:t>
      </w:r>
    </w:p>
    <w:p>
      <w:pPr>
        <w:widowControl w:val="on"/>
        <w:pBdr/>
        <w:spacing w:before="140" w:after="240" w:line="288" w:lineRule="auto"/>
        <w:ind w:left="0" w:right="0"/>
        <w:jc w:val="left"/>
      </w:pPr>
      <w:r>
        <w:rPr>
          <w:rFonts w:ascii="Arial" w:hAnsi="Arial" w:eastAsia="Arial" w:cs="Arial"/>
          <w:color w:val="000000"/>
          <w:sz w:val="20"/>
          <w:szCs w:val="20"/>
        </w:rPr>
        <w:t xml:space="preserve">Der Dienstgeberbeitrag beträgt ab 01.01.2026 3,7 % der
Beitragsgrundlage. Ab 01.01.2028 wir der Dienstgeberbeitrag auf
2,7 % gesenkt.</w:t>
      </w:r>
    </w:p>
    <w:p>
      <w:pPr>
        <w:widowControl w:val="on"/>
        <w:pBdr/>
        <w:spacing w:before="140" w:after="240" w:line="288" w:lineRule="auto"/>
        <w:ind w:left="0" w:right="0"/>
        <w:jc w:val="left"/>
      </w:pPr>
      <w:r>
        <w:rPr>
          <w:rFonts w:ascii="Arial" w:hAnsi="Arial" w:eastAsia="Arial" w:cs="Arial"/>
          <w:color w:val="000000"/>
          <w:sz w:val="20"/>
          <w:szCs w:val="20"/>
        </w:rPr>
        <w:t xml:space="preserve">Für Personen, die das 60. Lebensjahr überschritten haben, ist
bis 31.12.2027 kein DB zu entrichten. Ab 1. Jänner 2028 unterliegen
auch Arbeitslöhne von Arbeitnehmern ab dem Kalendermonat nach
Vollendung des 60. Lebensjahres dem Dienstgeberbeitrag. Die
bisherige Befreiung von der Dienstgeberbeitragspflicht
entfällt.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Zuschlag zum Dienstgeberbeitrag 2025, 2026</w:t>
      </w:r>
    </w:p>
    <w:p>
      <w:pPr>
        <w:widowControl w:val="on"/>
        <w:pBdr/>
        <w:spacing w:before="140" w:after="240" w:line="288" w:lineRule="auto"/>
        <w:ind w:left="0" w:right="0"/>
        <w:jc w:val="left"/>
      </w:pPr>
      <w:r>
        <w:rPr>
          <w:rFonts w:ascii="Arial" w:hAnsi="Arial" w:eastAsia="Arial" w:cs="Arial"/>
          <w:color w:val="000000"/>
          <w:sz w:val="20"/>
          <w:szCs w:val="20"/>
        </w:rPr>
        <w:t xml:space="preserve">Der Zuschlag zum Dienstgeberbeitrag beträgt:</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Bundesland</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2025</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Wien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0,36 %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0,36 %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Niederösterreich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0,33 %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0,34 %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Burgenland</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0,40 %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0,40 %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Oberösterreich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0,31 %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0,31 %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Kärnten</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0,37 %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0,37 %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Steiermark</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0,34 %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0,34 %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Salzburg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0,35 %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0,36 %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Tirol</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0,39 %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0,39 %</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Vorarlberg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0,33 %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0,33 %</w:t>
            </w:r>
          </w:p>
        </w:tc>
      </w:tr>
    </w:tbl>
    <w:p>
      <w:pPr>
        <w:widowControl w:val="on"/>
        <w:pBdr/>
        <w:spacing w:before="140" w:after="240" w:line="288" w:lineRule="auto"/>
        <w:ind w:left="0" w:right="0"/>
        <w:jc w:val="left"/>
      </w:pPr>
      <w:r>
        <w:rPr>
          <w:rFonts w:ascii="Arial" w:hAnsi="Arial" w:eastAsia="Arial" w:cs="Arial"/>
          <w:color w:val="000000"/>
          <w:sz w:val="20"/>
          <w:szCs w:val="20"/>
        </w:rPr>
        <w:t xml:space="preserve">Für Personen, die das 60. Lebensjahr überschritten haben, ist
bis 31.12.2027 kein DZ zu entrichten. Ab 1. Jänner 2028 unterliegen
auch Arbeitslöhne von Arbeitnehmern ab dem Kalendermonat nach
Vollendung des 60. Lebensjahres dem Dienstgeberzuschlag. Die
bisherige Befreiung vom Dienstgeberzuschlag entfällt.</w:t>
      </w:r>
    </w:p>
    <w:p>
      <w:pPr>
        <w:widowControl w:val="on"/>
        <w:pBdr/>
        <w:spacing w:before="200" w:after="200" w:line="300" w:lineRule="auto"/>
        <w:ind w:left="0" w:right="0"/>
        <w:jc w:val="left"/>
        <w:outlineLvl w:val="2"/>
      </w:pPr>
      <w:bookmarkStart w:id="72286898" w:name="_Toc144896368"/>
      <w:bookmarkEnd w:id="72286898"/>
      <w:r>
        <w:rPr>
          <w:rFonts w:ascii="Arial" w:hAnsi="Arial" w:eastAsia="Arial" w:cs="Arial"/>
          <w:b/>
          <w:bCs/>
          <w:color w:val="363A40"/>
          <w:sz w:val="22"/>
          <w:szCs w:val="22"/>
        </w:rPr>
        <w:t xml:space="preserve">U-Bahnsteuer
(Wien)</w:t>
      </w:r>
    </w:p>
    <w:p>
      <w:pPr>
        <w:widowControl w:val="on"/>
        <w:pBdr/>
        <w:spacing w:before="140" w:after="240" w:line="288" w:lineRule="auto"/>
        <w:ind w:left="0" w:right="0"/>
        <w:jc w:val="left"/>
      </w:pPr>
      <w:r>
        <w:rPr>
          <w:rFonts w:ascii="Arial" w:hAnsi="Arial" w:eastAsia="Arial" w:cs="Arial"/>
          <w:color w:val="000000"/>
          <w:sz w:val="20"/>
          <w:szCs w:val="20"/>
        </w:rPr>
        <w:t xml:space="preserve">Pro Dienstnehmer und pro angefangener Woche: EUR 2,–. Für
Personen, die das 55. Lebensjahr überschritten haben, entfällt die
U-Bahnsteuer.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Lohnpfändung 2023 bis 2026</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Allgemeiner Grundbetrag</w:t>
      </w:r>
    </w:p>
    <w:p>
      <w:pPr>
        <w:widowControl w:val="on"/>
        <w:pBdr/>
        <w:spacing w:before="140" w:after="240" w:line="288" w:lineRule="auto"/>
        <w:ind w:left="0" w:right="0"/>
        <w:jc w:val="left"/>
      </w:pPr>
      <w:r>
        <w:rPr>
          <w:rFonts w:ascii="Arial" w:hAnsi="Arial" w:eastAsia="Arial" w:cs="Arial"/>
          <w:color w:val="000000"/>
          <w:sz w:val="20"/>
          <w:szCs w:val="20"/>
        </w:rPr>
        <w:t xml:space="preserve">Der allgemeine Grundbetrag entspricht dem auf volle Euro
abgerundeten Ausgleichszulagenrichtsatz und beträgt:</w:t>
      </w:r>
    </w:p>
    <w:tbl>
      <w:tblPr>
        <w:tblStyle w:val="NormalTablePHPDOCX"/>
        <w:tblW w:w="8700" w:type="dxa"/>
        <w:tblInd w:w="0" w:type="auto"/>
        <w:tblBorders>
          <w:top w:val="single" w:color="000000" w:sz="2"/>
          <w:left w:val="single" w:color="000000" w:sz="2"/>
          <w:bottom w:val="single" w:color="000000" w:sz="2"/>
          <w:right w:val="single" w:color="000000" w:sz="2"/>
        </w:tblBorders>
      </w:tblPr>
      <w:tblGrid>
        <w:gridCol w:w="2310"/>
        <w:gridCol w:w="165"/>
        <w:gridCol w:w="0"/>
        <w:gridCol w:w="1037.5"/>
        <w:gridCol w:w="1037.5"/>
        <w:gridCol w:w="1037.5"/>
        <w:gridCol w:w="1037.5"/>
        <w:gridCol w:w="1037.5"/>
        <w:gridCol w:w="1037.5"/>
      </w:tblGrid>
      <w:tr>
        <w:trPr>
          <w:trHeight w:val="0" w:hRule="atLeast"/>
        </w:trPr>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165" w:type="dxa"/>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2026</w:t>
            </w:r>
          </w:p>
        </w:tc>
        <w:tc>
          <w:tcPr>
            <w:tcW w:w="2074.9999999999" w:type="dxa"/>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2025</w:t>
            </w:r>
          </w:p>
        </w:tc>
        <w:tc>
          <w:tcPr>
            <w:tcW w:w="2074.9999999999" w:type="dxa"/>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2024</w:t>
            </w:r>
          </w:p>
        </w:tc>
        <w:tc>
          <w:tcPr>
            <w:tcW w:w="2074.9999999999" w:type="dxa"/>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2023</w:t>
            </w:r>
          </w:p>
        </w:tc>
      </w:tr>
      <w:tr>
        <w:trPr>
          <w:trHeight w:val="0" w:hRule="atLeast"/>
        </w:trPr>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Monatlich</w:t>
            </w:r>
          </w:p>
        </w:tc>
        <w:tc>
          <w:tcPr>
            <w:tcW w:w="1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1.308,00</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1.273,00</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1.217,00</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1.110,00</w:t>
            </w:r>
          </w:p>
        </w:tc>
      </w:tr>
      <w:tr>
        <w:trPr>
          <w:trHeight w:val="0" w:hRule="atLeast"/>
        </w:trPr>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Wöchentlich</w:t>
            </w:r>
          </w:p>
        </w:tc>
        <w:tc>
          <w:tcPr>
            <w:tcW w:w="1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305,00</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297,00</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284,00</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259,00</w:t>
            </w:r>
          </w:p>
        </w:tc>
      </w:tr>
      <w:tr>
        <w:trPr>
          <w:trHeight w:val="0" w:hRule="atLeast"/>
        </w:trPr>
        <w:tc>
          <w:tcPr>
            <w:tcW w:w="2310"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Täglich</w:t>
            </w:r>
          </w:p>
        </w:tc>
        <w:tc>
          <w:tcPr>
            <w:tcW w:w="1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43,00</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42,00</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40,00</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1037.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37,00</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Erhöhter allgemeiner Grundbetrag</w:t>
      </w:r>
    </w:p>
    <w:p>
      <w:pPr>
        <w:widowControl w:val="on"/>
        <w:pBdr/>
        <w:spacing w:before="140" w:after="240" w:line="288" w:lineRule="auto"/>
        <w:ind w:left="0" w:right="0"/>
        <w:jc w:val="left"/>
      </w:pPr>
      <w:r>
        <w:rPr>
          <w:rFonts w:ascii="Arial" w:hAnsi="Arial" w:eastAsia="Arial" w:cs="Arial"/>
          <w:color w:val="000000"/>
          <w:sz w:val="20"/>
          <w:szCs w:val="20"/>
        </w:rPr>
        <w:t xml:space="preserve">Erhält der Arbeitnehmer keine Sonderzahlungen, gebührt ein
erhöhter allgemeiner Grundbetrag. Dieser beträgt:</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2026</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2025</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2024</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2023</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Monatlich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1.526,00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1.486,00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1.420,00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1.295,00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Wöchentlich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356,00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346,00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331,00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302,00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Täglich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49,00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47,00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43,00</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Unterhaltsgrundbetrag</w:t>
      </w:r>
    </w:p>
    <w:p>
      <w:pPr>
        <w:widowControl w:val="on"/>
        <w:pBdr/>
        <w:spacing w:before="140" w:after="240" w:line="288" w:lineRule="auto"/>
        <w:ind w:left="0" w:right="0"/>
        <w:jc w:val="left"/>
      </w:pPr>
      <w:r>
        <w:rPr>
          <w:rFonts w:ascii="Arial" w:hAnsi="Arial" w:eastAsia="Arial" w:cs="Arial"/>
          <w:color w:val="000000"/>
          <w:sz w:val="20"/>
          <w:szCs w:val="20"/>
        </w:rPr>
        <w:t xml:space="preserve">Der allgemeine Grundbetrag erhöht sich um 20 % für jede
Person, höchstens aber für fünf Personen, der der Arbeitnehmer
(Verpflichtete) gesetzlichen Unterhalt gewährt, also pro
Person: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2026</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2025</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2024</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2023</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Monatlich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261,00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254,00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243,00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222,00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Wöchentlich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59,00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56,00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51,00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Täglich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7,00</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Zur Gänze pfändbar</w:t>
      </w:r>
    </w:p>
    <w:p>
      <w:pPr>
        <w:widowControl w:val="on"/>
        <w:pBdr/>
        <w:spacing w:before="140" w:after="240" w:line="288" w:lineRule="auto"/>
        <w:ind w:left="0" w:right="0"/>
        <w:jc w:val="left"/>
      </w:pPr>
      <w:r>
        <w:rPr>
          <w:rFonts w:ascii="Arial" w:hAnsi="Arial" w:eastAsia="Arial" w:cs="Arial"/>
          <w:color w:val="000000"/>
          <w:sz w:val="20"/>
          <w:szCs w:val="20"/>
        </w:rPr>
        <w:t xml:space="preserve">Der das Vierfache des Ausgleichszulagenrichtsatzes übersteigende
Teil der Berechnungsgrundlage ist zur Gänze pfändbar. Das ist jenes
Nettogehalt, welches</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2026</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2025</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2024</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2023</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Monatlich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5.220,00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5.080,00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4.860,00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4.440,00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Wöchentlich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1.220,00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1.185,00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1.135,00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1.035,00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Täglich</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174,00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169,00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162,00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148,00</w:t>
            </w:r>
          </w:p>
        </w:tc>
      </w:tr>
    </w:tbl>
    <w:p>
      <w:pPr>
        <w:widowControl w:val="on"/>
        <w:pBdr/>
        <w:spacing w:before="140" w:after="240" w:line="288" w:lineRule="auto"/>
        <w:ind w:left="0" w:right="0"/>
        <w:jc w:val="left"/>
      </w:pPr>
      <w:r>
        <w:rPr>
          <w:rFonts w:ascii="Arial" w:hAnsi="Arial" w:eastAsia="Arial" w:cs="Arial"/>
          <w:color w:val="000000"/>
          <w:sz w:val="20"/>
          <w:szCs w:val="20"/>
        </w:rPr>
        <w:t xml:space="preserve">übersteigt.</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Bagatellgrenze</w:t>
      </w:r>
    </w:p>
    <w:p>
      <w:pPr>
        <w:widowControl w:val="on"/>
        <w:pBdr/>
        <w:spacing w:before="140" w:after="240" w:line="288" w:lineRule="auto"/>
        <w:ind w:left="0" w:right="0"/>
        <w:jc w:val="left"/>
      </w:pPr>
      <w:r>
        <w:rPr>
          <w:rFonts w:ascii="Arial" w:hAnsi="Arial" w:eastAsia="Arial" w:cs="Arial"/>
          <w:color w:val="000000"/>
          <w:sz w:val="20"/>
          <w:szCs w:val="20"/>
        </w:rPr>
        <w:t xml:space="preserve">Die Bagatellgrenze, um die das Existenzminimum überstiegen
werden darf, ohne dass eine Pfändung durchgeführt werden muss,
beläuft sich 2022 auf EUR 10,– monatlich, EUR 2,50
wöchentlich bzw EUR 0,50 täglich.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Ausgleichstaxe 2025, 2026</w:t>
      </w:r>
    </w:p>
    <w:p>
      <w:pPr>
        <w:widowControl w:val="on"/>
        <w:pBdr/>
        <w:spacing w:before="140" w:after="240" w:line="288" w:lineRule="auto"/>
        <w:ind w:left="0" w:right="0"/>
        <w:jc w:val="left"/>
      </w:pPr>
      <w:r>
        <w:rPr>
          <w:rFonts w:ascii="Arial" w:hAnsi="Arial" w:eastAsia="Arial" w:cs="Arial"/>
          <w:color w:val="000000"/>
          <w:sz w:val="20"/>
          <w:szCs w:val="20"/>
        </w:rPr>
        <w:t xml:space="preserve">Die Höhe der Ausgleichstaxe ist abhängig von der Anzahl der
Arbeitnehmer und beträgt für das Jahr:</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Anzahl der Arbeitnehmer</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Monatliche Ausgleichstaxe 2026</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Monatliche Ausgleichstaxe 2025</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0–24 Arbeitnehmer</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Keine</w:t>
            </w:r>
          </w:p>
        </w:tc>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Keine</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25–99 Arbeitnehmer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344,00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335,00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100–399 Arbeitnehmer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485,00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472,00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400 und mehr Arbeitnehmer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512,00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499,00</w:t>
            </w:r>
          </w:p>
        </w:tc>
      </w:tr>
    </w:tbl>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Sachbezüge</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Firmenwagen</w:t>
      </w:r>
    </w:p>
    <w:p>
      <w:pPr>
        <w:widowControl w:val="on"/>
        <w:pBdr/>
        <w:spacing w:before="140" w:after="240" w:line="288" w:lineRule="auto"/>
        <w:ind w:left="0" w:right="0"/>
        <w:jc w:val="left"/>
      </w:pPr>
      <w:r>
        <w:rPr>
          <w:rFonts w:ascii="Arial" w:hAnsi="Arial" w:eastAsia="Arial" w:cs="Arial"/>
          <w:color w:val="000000"/>
          <w:sz w:val="20"/>
          <w:szCs w:val="20"/>
        </w:rPr>
        <w:t xml:space="preserve">Benützung des Firmenwagens für Privatfahrten: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Höchstbetrag</w:t>
            </w:r>
          </w:p>
        </w:tc>
      </w:tr>
      <w:tr>
        <w:trPr>
          <w:trHeight w:val="0" w:hRule="atLeast"/>
        </w:trPr>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Kein Sachbezugswert</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Elektroautos</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EUR 0,00</w:t>
            </w:r>
          </w:p>
        </w:tc>
      </w:tr>
      <w:tr>
        <w:trPr>
          <w:trHeight w:val="0" w:hRule="atLeast"/>
        </w:trPr>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Voller Sachbezug</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Unterschreitung der CO</w:t>
            </w:r>
            <w:r>
              <w:rPr>
                <w:rFonts w:ascii="Arial" w:hAnsi="Arial" w:eastAsia="Arial" w:cs="Arial"/>
                <w:color w:val="000000"/>
                <w:position w:val="-3"/>
                <w:sz w:val="18"/>
                <w:szCs w:val="18"/>
                <w:shd w:val="clear" w:color="auto" w:fill="FFFFFF"/>
                <w:vertAlign w:val="subscript"/>
              </w:rPr>
              <w:t xml:space="preserve">2</w:t>
            </w:r>
            <w:r>
              <w:rPr>
                <w:rFonts w:ascii="Arial" w:hAnsi="Arial" w:eastAsia="Arial" w:cs="Arial"/>
                <w:color w:val="000000"/>
                <w:position w:val="0"/>
                <w:sz w:val="20"/>
                <w:szCs w:val="20"/>
                <w:shd w:val="clear" w:color="auto" w:fill="FFFFFF"/>
              </w:rPr>
              <w:t xml:space="preserve">-Grenzwerte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1,5 % der Kfz-Anschaffungskosten (inkl USt und NoVA)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Max EUR 720,00</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Überschreitung der CO</w:t>
            </w:r>
            <w:r>
              <w:rPr>
                <w:rFonts w:ascii="Arial" w:hAnsi="Arial" w:eastAsia="Arial" w:cs="Arial"/>
                <w:color w:val="000000"/>
                <w:position w:val="-3"/>
                <w:sz w:val="18"/>
                <w:szCs w:val="18"/>
                <w:shd w:val="clear" w:color="auto" w:fill="FFFFFF"/>
                <w:vertAlign w:val="subscript"/>
              </w:rPr>
              <w:t xml:space="preserve">2</w:t>
            </w:r>
            <w:r>
              <w:rPr>
                <w:rFonts w:ascii="Arial" w:hAnsi="Arial" w:eastAsia="Arial" w:cs="Arial"/>
                <w:color w:val="000000"/>
                <w:position w:val="0"/>
                <w:sz w:val="20"/>
                <w:szCs w:val="20"/>
                <w:shd w:val="clear" w:color="auto" w:fill="FFFFFF"/>
              </w:rPr>
              <w:t xml:space="preserve">-Grenzwerte</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2 % der Kfz-Anschaffungskosten (inkl USt und NoVA)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Max EUR 960,00</w:t>
            </w:r>
          </w:p>
        </w:tc>
      </w:tr>
      <w:tr>
        <w:trPr>
          <w:trHeight w:val="0" w:hRule="atLeast"/>
        </w:trPr>
        <w:tc>
          <w:tcPr>
            <w:tcW w:w="0" w:type="auto"/>
            <w:gridSpan w:val="2"/>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Halber Sachbezugswert</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Im Durchschnitt/Jahr max 500 km für private Fahrten
monatlich</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0,75 % bzw 1 % der Kfz-Anschaffungskosten (inkl USt
und NoVA)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Max EUR 360,00 bzw
EUR 480,00</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Höhe des Hinzurechnungsbetrages hängt vom Schadstoffausstoß
und den Anschaffungskosten des Firmenwagens ab. Für die Ermittlung
des Sachbezugs ist der CO</w:t>
      </w:r>
      <w:r>
        <w:rPr>
          <w:rFonts w:ascii="Arial" w:hAnsi="Arial" w:eastAsia="Arial" w:cs="Arial"/>
          <w:color w:val="000000"/>
          <w:position w:val="-3"/>
          <w:sz w:val="18"/>
          <w:szCs w:val="18"/>
          <w:vertAlign w:val="subscript"/>
        </w:rPr>
        <w:t xml:space="preserve">2</w:t>
      </w:r>
      <w:r>
        <w:rPr>
          <w:rFonts w:ascii="Arial" w:hAnsi="Arial" w:eastAsia="Arial" w:cs="Arial"/>
          <w:color w:val="000000"/>
          <w:sz w:val="20"/>
          <w:szCs w:val="20"/>
        </w:rPr>
        <w:t xml:space="preserve">-Grenzwert im Kalenderjahr der
Anschaffung bzw Zulassung des Kfz maßgeblich. Dieser Sachbezugswert
gilt für dieses Kfz auch in den Folgejahren. Wird der jeweilige
CO</w:t>
      </w:r>
      <w:r>
        <w:rPr>
          <w:rFonts w:ascii="Arial" w:hAnsi="Arial" w:eastAsia="Arial" w:cs="Arial"/>
          <w:color w:val="000000"/>
          <w:position w:val="-3"/>
          <w:sz w:val="18"/>
          <w:szCs w:val="18"/>
          <w:vertAlign w:val="subscript"/>
        </w:rPr>
        <w:t xml:space="preserve">2</w:t>
      </w:r>
      <w:r>
        <w:rPr>
          <w:rFonts w:ascii="Arial" w:hAnsi="Arial" w:eastAsia="Arial" w:cs="Arial"/>
          <w:color w:val="000000"/>
          <w:sz w:val="20"/>
          <w:szCs w:val="20"/>
        </w:rPr>
        <w:t xml:space="preserve">-Grenzwert im Jahr der Erstzulassung überschritten,
beträgt der monatliche Sachbezug 2 % der tatsächlichen
Anschaffungskosten (inkl USt und NoVA), max jedoch
EUR 960,–.</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700"/>
        <w:gridCol w:w="2300"/>
      </w:tblGrid>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Erstzulassung</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Max CO</w:t>
            </w:r>
            <w:r>
              <w:rPr>
                <w:rFonts w:ascii="Arial" w:hAnsi="Arial" w:eastAsia="Arial" w:cs="Arial"/>
                <w:b/>
                <w:bCs/>
                <w:color w:val="000000"/>
                <w:position w:val="-3"/>
                <w:sz w:val="18"/>
                <w:szCs w:val="18"/>
                <w:shd w:val="clear" w:color="auto" w:fill="FFFFFF"/>
                <w:vertAlign w:val="subscript"/>
              </w:rPr>
              <w:t xml:space="preserve">2</w:t>
            </w:r>
            <w:r>
              <w:rPr>
                <w:rFonts w:ascii="Arial" w:hAnsi="Arial" w:eastAsia="Arial" w:cs="Arial"/>
                <w:b/>
                <w:bCs/>
                <w:color w:val="000000"/>
                <w:position w:val="0"/>
                <w:sz w:val="20"/>
                <w:szCs w:val="20"/>
                <w:shd w:val="clear" w:color="auto" w:fill="FFFFFF"/>
              </w:rPr>
              <w:t xml:space="preserve">-Grenzwert</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2016</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130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2017</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127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2018</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124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2019</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121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Bis 31.03.2020</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118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 01.04.2020</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141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2021</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138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2022</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135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2023</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132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2024</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129 g/km</w:t>
            </w:r>
          </w:p>
        </w:tc>
      </w:tr>
      <w:tr>
        <w:trPr>
          <w:trHeight w:val="0" w:hRule="atLeast"/>
        </w:trPr>
        <w:tc>
          <w:tcPr>
            <w:tcW w:w="27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 2025</w:t>
            </w:r>
          </w:p>
        </w:tc>
        <w:tc>
          <w:tcPr>
            <w:tcW w:w="23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126 g/km</w:t>
            </w:r>
          </w:p>
        </w:tc>
      </w:tr>
    </w:tbl>
    <w:p>
      <w:pPr>
        <w:widowControl w:val="on"/>
        <w:pBdr/>
        <w:spacing w:before="140" w:after="240" w:line="288" w:lineRule="auto"/>
        <w:ind w:left="0" w:right="0"/>
        <w:jc w:val="left"/>
      </w:pPr>
      <w:r>
        <w:rPr>
          <w:rFonts w:ascii="Arial" w:hAnsi="Arial" w:eastAsia="Arial" w:cs="Arial"/>
          <w:color w:val="000000"/>
          <w:sz w:val="20"/>
          <w:szCs w:val="20"/>
        </w:rPr>
        <w:t xml:space="preserve">*Umstellung auf WLTP-Messverfahren</w:t>
      </w:r>
    </w:p>
    <w:p>
      <w:pPr>
        <w:widowControl w:val="on"/>
        <w:pBdr/>
        <w:spacing w:before="140" w:after="240" w:line="288" w:lineRule="auto"/>
        <w:ind w:left="0" w:right="0"/>
        <w:jc w:val="left"/>
      </w:pPr>
      <w:r>
        <w:rPr>
          <w:rFonts w:ascii="Arial" w:hAnsi="Arial" w:eastAsia="Arial" w:cs="Arial"/>
          <w:color w:val="000000"/>
          <w:sz w:val="20"/>
          <w:szCs w:val="20"/>
        </w:rPr>
        <w:t xml:space="preserve">Für Elektrofahrzeuge, Elektrofahrräder, E-Scooter uÄ mit einem
CO</w:t>
      </w:r>
      <w:r>
        <w:rPr>
          <w:rFonts w:ascii="Arial" w:hAnsi="Arial" w:eastAsia="Arial" w:cs="Arial"/>
          <w:color w:val="000000"/>
          <w:position w:val="-3"/>
          <w:sz w:val="18"/>
          <w:szCs w:val="18"/>
          <w:vertAlign w:val="subscript"/>
        </w:rPr>
        <w:t xml:space="preserve">2</w:t>
      </w:r>
      <w:r>
        <w:rPr>
          <w:rFonts w:ascii="Arial" w:hAnsi="Arial" w:eastAsia="Arial" w:cs="Arial"/>
          <w:color w:val="000000"/>
          <w:sz w:val="20"/>
          <w:szCs w:val="20"/>
        </w:rPr>
        <w:t xml:space="preserve">-Ausstoß von 0 g/km ist kein Sachbezug
hinzuzurechnen. Diese Befreiung gilt jedoch nicht für
Hybridfahrzeuge.</w:t>
      </w:r>
    </w:p>
    <w:p>
      <w:pPr>
        <w:widowControl w:val="on"/>
        <w:pBdr/>
        <w:spacing w:before="140" w:after="240" w:line="288" w:lineRule="auto"/>
        <w:ind w:left="0" w:right="0"/>
        <w:jc w:val="left"/>
      </w:pPr>
      <w:r>
        <w:rPr>
          <w:rFonts w:ascii="Arial" w:hAnsi="Arial" w:eastAsia="Arial" w:cs="Arial"/>
          <w:color w:val="000000"/>
          <w:sz w:val="20"/>
          <w:szCs w:val="20"/>
        </w:rPr>
        <w:t xml:space="preserve">Künftig ist auch für E-Firmenautos bei Privatnutzung ein
Sachbezug anzusetzen. Ab 01.01.2027 ist voraussichtlich ein
Sachbezug von 0,375 % der Anschaffungskosten pro Monat
vorgesehen, ab 01.01.2028 soll sich dieser auf 0,625 %
erhöhen. Werden – wie bei Verbrennern – maximal EUR 48.000,–
der Anschaffungskosten für die Berechnung herangezogen, ergibt dies
einen monatlichen Sachbezug von EUR 180,– ab 2027 bzw
EUR 300,– ab 2028.</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Arbeitgebereigener Abstell- oder Garagenplatz</w:t>
      </w:r>
    </w:p>
    <w:p>
      <w:pPr>
        <w:widowControl w:val="on"/>
        <w:pBdr/>
        <w:spacing w:before="140" w:after="240" w:line="288" w:lineRule="auto"/>
        <w:ind w:left="0" w:right="0"/>
        <w:jc w:val="left"/>
      </w:pPr>
      <w:r>
        <w:rPr>
          <w:rFonts w:ascii="Arial" w:hAnsi="Arial" w:eastAsia="Arial" w:cs="Arial"/>
          <w:color w:val="000000"/>
          <w:sz w:val="20"/>
          <w:szCs w:val="20"/>
        </w:rPr>
        <w:t xml:space="preserve">In parkraumbewirtschafteten Gebieten: EUR 14,53/Monat.
Achtung: Mitarbeiter, die bereits ein Parkpickerl für den
bewirtschafteten Bereich besitzen und deshalb keine Kosten fürs
Parken rund um den Arbeitsplatz hätten, haben durch die kostenlose
Überlassung eines Abstellplatzes keinen geldwerten Vorteil. Es ist
für sie kein Sachbezugswert anzusetzen.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E-Tankstelle</w:t>
      </w:r>
    </w:p>
    <w:p>
      <w:pPr>
        <w:widowControl w:val="on"/>
        <w:pBdr/>
        <w:spacing w:before="140" w:after="240" w:line="288" w:lineRule="auto"/>
        <w:ind w:left="0" w:right="0"/>
        <w:jc w:val="left"/>
      </w:pPr>
      <w:r>
        <w:rPr>
          <w:rFonts w:ascii="Arial" w:hAnsi="Arial" w:eastAsia="Arial" w:cs="Arial"/>
          <w:color w:val="000000"/>
          <w:sz w:val="20"/>
          <w:szCs w:val="20"/>
        </w:rPr>
        <w:t xml:space="preserve">Ein Kostenersatz für das Aufladen des E-Firmenwagens zu Hause
ist abgabenfrei, wenn die Höhe des Kostenersatzes nach einem
pauschalen kWh-Satz ermittelt wird, der jährlich vom BMF festgelegt
wird. Dieser beträgt:</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7965"/>
        <w:gridCol w:w="2385"/>
      </w:tblGrid>
      <w:tr>
        <w:trPr>
          <w:trHeight w:val="0" w:hRule="atLeast"/>
        </w:trPr>
        <w:tc>
          <w:tcPr>
            <w:tcW w:w="79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Jahr</w:t>
            </w:r>
          </w:p>
        </w:tc>
        <w:tc>
          <w:tcPr>
            <w:tcW w:w="238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Cent/kWh</w:t>
            </w:r>
          </w:p>
        </w:tc>
      </w:tr>
      <w:tr>
        <w:trPr>
          <w:trHeight w:val="0" w:hRule="atLeast"/>
        </w:trPr>
        <w:tc>
          <w:tcPr>
            <w:tcW w:w="79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2023</w:t>
            </w:r>
          </w:p>
        </w:tc>
        <w:tc>
          <w:tcPr>
            <w:tcW w:w="238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22,247</w:t>
            </w:r>
          </w:p>
        </w:tc>
      </w:tr>
      <w:tr>
        <w:trPr>
          <w:trHeight w:val="0" w:hRule="atLeast"/>
        </w:trPr>
        <w:tc>
          <w:tcPr>
            <w:tcW w:w="79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2024</w:t>
            </w:r>
          </w:p>
        </w:tc>
        <w:tc>
          <w:tcPr>
            <w:tcW w:w="238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33,182</w:t>
            </w:r>
          </w:p>
        </w:tc>
      </w:tr>
      <w:tr>
        <w:trPr>
          <w:trHeight w:val="0" w:hRule="atLeast"/>
        </w:trPr>
        <w:tc>
          <w:tcPr>
            <w:tcW w:w="79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2025</w:t>
            </w:r>
          </w:p>
        </w:tc>
        <w:tc>
          <w:tcPr>
            <w:tcW w:w="238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35,889</w:t>
            </w:r>
          </w:p>
        </w:tc>
      </w:tr>
      <w:tr>
        <w:trPr>
          <w:trHeight w:val="0" w:hRule="atLeast"/>
        </w:trPr>
        <w:tc>
          <w:tcPr>
            <w:tcW w:w="796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2026</w:t>
            </w:r>
          </w:p>
        </w:tc>
        <w:tc>
          <w:tcPr>
            <w:tcW w:w="2385" w:type="dxa"/>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32,806</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Dienstwohnung</w:t>
      </w:r>
    </w:p>
    <w:p>
      <w:pPr>
        <w:widowControl w:val="on"/>
        <w:pBdr/>
        <w:spacing w:before="140" w:after="240" w:line="288" w:lineRule="auto"/>
        <w:ind w:left="0" w:right="0"/>
        <w:jc w:val="left"/>
      </w:pPr>
      <w:r>
        <w:rPr>
          <w:rFonts w:ascii="Arial" w:hAnsi="Arial" w:eastAsia="Arial" w:cs="Arial"/>
          <w:color w:val="000000"/>
          <w:sz w:val="20"/>
          <w:szCs w:val="20"/>
        </w:rPr>
        <w:t xml:space="preserve">Die anzusetzenden Sachbezugswerte betragen pro m² des
Wohnflächenausmaßes:</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200"/>
        <w:gridCol w:w="900"/>
        <w:gridCol w:w="900"/>
      </w:tblGrid>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Bundesland</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Werte 2024 bis 2026</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Werte 2027</w:t>
            </w:r>
          </w:p>
        </w:tc>
      </w:tr>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Burgenland</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6,09</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6,15</w:t>
            </w:r>
          </w:p>
        </w:tc>
      </w:tr>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Kärnten</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7,81</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7,89</w:t>
            </w:r>
          </w:p>
        </w:tc>
      </w:tr>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Niederösterreich</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6,85</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6,92</w:t>
            </w:r>
          </w:p>
        </w:tc>
      </w:tr>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Oberösterreich</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7,23</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7,30</w:t>
            </w:r>
          </w:p>
        </w:tc>
      </w:tr>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Salzburg</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9,22</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9,31</w:t>
            </w:r>
          </w:p>
        </w:tc>
      </w:tr>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Steiermark</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9,21</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9,30</w:t>
            </w:r>
          </w:p>
        </w:tc>
      </w:tr>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Tirol</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8,14</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8,22</w:t>
            </w:r>
          </w:p>
        </w:tc>
      </w:tr>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Vorarlberg</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10,25</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10,35</w:t>
            </w:r>
          </w:p>
        </w:tc>
      </w:tr>
      <w:tr>
        <w:trPr>
          <w:trHeight w:val="0" w:hRule="atLeast"/>
        </w:trPr>
        <w:tc>
          <w:tcPr>
            <w:tcW w:w="22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Wien</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6,67</w:t>
            </w:r>
          </w:p>
        </w:tc>
        <w:tc>
          <w:tcPr>
            <w:tcW w:w="9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6,74</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815733">
    <w:multiLevelType w:val="hybridMultilevel"/>
    <w:lvl w:ilvl="0" w:tplc="22482051">
      <w:start w:val="1"/>
      <w:numFmt w:val="decimal"/>
      <w:lvlText w:val="%1."/>
      <w:lvlJc w:val="left"/>
      <w:pPr>
        <w:ind w:left="720" w:hanging="360"/>
      </w:pPr>
    </w:lvl>
    <w:lvl w:ilvl="1" w:tplc="22482051" w:tentative="1">
      <w:start w:val="1"/>
      <w:numFmt w:val="lowerLetter"/>
      <w:lvlText w:val="%2."/>
      <w:lvlJc w:val="left"/>
      <w:pPr>
        <w:ind w:left="1440" w:hanging="360"/>
      </w:pPr>
    </w:lvl>
    <w:lvl w:ilvl="2" w:tplc="22482051" w:tentative="1">
      <w:start w:val="1"/>
      <w:numFmt w:val="lowerRoman"/>
      <w:lvlText w:val="%3."/>
      <w:lvlJc w:val="right"/>
      <w:pPr>
        <w:ind w:left="2160" w:hanging="180"/>
      </w:pPr>
    </w:lvl>
    <w:lvl w:ilvl="3" w:tplc="22482051" w:tentative="1">
      <w:start w:val="1"/>
      <w:numFmt w:val="decimal"/>
      <w:lvlText w:val="%4."/>
      <w:lvlJc w:val="left"/>
      <w:pPr>
        <w:ind w:left="2880" w:hanging="360"/>
      </w:pPr>
    </w:lvl>
    <w:lvl w:ilvl="4" w:tplc="22482051" w:tentative="1">
      <w:start w:val="1"/>
      <w:numFmt w:val="lowerLetter"/>
      <w:lvlText w:val="%5."/>
      <w:lvlJc w:val="left"/>
      <w:pPr>
        <w:ind w:left="3600" w:hanging="360"/>
      </w:pPr>
    </w:lvl>
    <w:lvl w:ilvl="5" w:tplc="22482051" w:tentative="1">
      <w:start w:val="1"/>
      <w:numFmt w:val="lowerRoman"/>
      <w:lvlText w:val="%6."/>
      <w:lvlJc w:val="right"/>
      <w:pPr>
        <w:ind w:left="4320" w:hanging="180"/>
      </w:pPr>
    </w:lvl>
    <w:lvl w:ilvl="6" w:tplc="22482051" w:tentative="1">
      <w:start w:val="1"/>
      <w:numFmt w:val="decimal"/>
      <w:lvlText w:val="%7."/>
      <w:lvlJc w:val="left"/>
      <w:pPr>
        <w:ind w:left="5040" w:hanging="360"/>
      </w:pPr>
    </w:lvl>
    <w:lvl w:ilvl="7" w:tplc="22482051" w:tentative="1">
      <w:start w:val="1"/>
      <w:numFmt w:val="lowerLetter"/>
      <w:lvlText w:val="%8."/>
      <w:lvlJc w:val="left"/>
      <w:pPr>
        <w:ind w:left="5760" w:hanging="360"/>
      </w:pPr>
    </w:lvl>
    <w:lvl w:ilvl="8" w:tplc="22482051" w:tentative="1">
      <w:start w:val="1"/>
      <w:numFmt w:val="lowerRoman"/>
      <w:lvlText w:val="%9."/>
      <w:lvlJc w:val="right"/>
      <w:pPr>
        <w:ind w:left="6480" w:hanging="180"/>
      </w:pPr>
    </w:lvl>
  </w:abstractNum>
  <w:abstractNum w:abstractNumId="10815732">
    <w:multiLevelType w:val="hybridMultilevel"/>
    <w:lvl w:ilvl="0" w:tplc="933307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815732">
    <w:abstractNumId w:val="10815732"/>
  </w:num>
  <w:num w:numId="10815733">
    <w:abstractNumId w:val="108157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63356655" Type="http://schemas.openxmlformats.org/officeDocument/2006/relationships/numbering" Target="numbering.xml"/><Relationship Id="rId140076529"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