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5190761" w:name="document"/>
    <w:bookmarkEnd w:id="65190761"/>
    <w:p/>
    <w:p>
      <w:pPr>
        <w:widowControl w:val="on"/>
        <w:pBdr/>
        <w:spacing w:before="0" w:after="280" w:line="240" w:lineRule="auto"/>
        <w:ind w:left="0" w:right="0"/>
        <w:jc w:val="left"/>
      </w:pPr>
      <w:r>
        <w:rPr>
          <w:rFonts w:ascii="Arial" w:hAnsi="Arial" w:eastAsia="Arial" w:cs="Arial"/>
          <w:color w:val="363A40"/>
          <w:sz w:val="24"/>
          <w:szCs w:val="24"/>
        </w:rPr>
        <w:t xml:space="preserve">Dokument-ID: 578941 | Markus Bulgarini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Typ 3 K1 Kompromiss-Vertragsmuster für eine Wohnung des Typs 3
bei Anwendbarkeit des KSchG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p>
      <w:pPr>
        <w:widowControl w:val="on"/>
        <w:pBdr/>
        <w:spacing w:before="140" w:after="240" w:line="288" w:lineRule="auto"/>
        <w:ind w:left="0" w:right="0"/>
        <w:jc w:val="left"/>
      </w:pPr>
      <w:r>
        <w:rPr>
          <w:rFonts w:ascii="Arial" w:hAnsi="Arial" w:eastAsia="Arial" w:cs="Arial"/>
          <w:color w:val="000000"/>
          <w:sz w:val="20"/>
          <w:szCs w:val="20"/>
        </w:rPr>
        <w:t xml:space="preserve">1. …</w:t>
      </w:r>
    </w:p>
    <w:p>
      <w:pPr>
        <w:widowControl w:val="on"/>
        <w:pBdr/>
        <w:spacing w:before="140" w:after="240" w:line="288" w:lineRule="auto"/>
        <w:ind w:left="0" w:right="0"/>
        <w:jc w:val="left"/>
      </w:pPr>
      <w:r>
        <w:rPr>
          <w:rFonts w:ascii="Arial" w:hAnsi="Arial" w:eastAsia="Arial" w:cs="Arial"/>
          <w:color w:val="000000"/>
          <w:sz w:val="20"/>
          <w:szCs w:val="20"/>
        </w:rPr>
        <w:t xml:space="preserve">Vor- und Zuname, akad Titel, geboren am, Beruf,</w:t>
      </w:r>
    </w:p>
    <w:p>
      <w:pPr>
        <w:widowControl w:val="on"/>
        <w:pBdr/>
        <w:spacing w:before="140" w:after="240" w:line="288" w:lineRule="auto"/>
        <w:ind w:left="0" w:right="0"/>
        <w:jc w:val="left"/>
      </w:pPr>
      <w:r>
        <w:rPr>
          <w:rFonts w:ascii="Arial" w:hAnsi="Arial" w:eastAsia="Arial" w:cs="Arial"/>
          <w:color w:val="000000"/>
          <w:sz w:val="20"/>
          <w:szCs w:val="20"/>
        </w:rPr>
        <w:t xml:space="preserve">Adresse (bisheriger gewöhnlicher Aufenthalt)</w:t>
      </w:r>
    </w:p>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p>
      <w:pPr>
        <w:widowControl w:val="on"/>
        <w:pBdr/>
        <w:spacing w:before="140" w:after="240" w:line="288" w:lineRule="auto"/>
        <w:ind w:left="0" w:right="0"/>
        <w:jc w:val="left"/>
      </w:pPr>
      <w:r>
        <w:rPr>
          <w:rFonts w:ascii="Arial" w:hAnsi="Arial" w:eastAsia="Arial" w:cs="Arial"/>
          <w:color w:val="000000"/>
          <w:sz w:val="20"/>
          <w:szCs w:val="20"/>
        </w:rPr>
        <w:t xml:space="preserve">2. …</w:t>
      </w:r>
    </w:p>
    <w:p>
      <w:pPr>
        <w:widowControl w:val="on"/>
        <w:pBdr/>
        <w:spacing w:before="140" w:after="240" w:line="288" w:lineRule="auto"/>
        <w:ind w:left="0" w:right="0"/>
        <w:jc w:val="left"/>
      </w:pPr>
      <w:r>
        <w:rPr>
          <w:rFonts w:ascii="Arial" w:hAnsi="Arial" w:eastAsia="Arial" w:cs="Arial"/>
          <w:color w:val="000000"/>
          <w:sz w:val="20"/>
          <w:szCs w:val="20"/>
        </w:rPr>
        <w:t xml:space="preserve">Vor- und Zuname, akad Titel, geboren am, Beruf, Adresse</w:t>
      </w:r>
    </w:p>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 Nutzfläche dieser Wohnung der Kategorie A
(Variante: B) beträgt mehr als 130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weitere Voraussetzung für die Anwendbarkeit dieses
Vertragsmusters ist, dass der Vermieter die Wohnung innerhalb von
sechs Monaten nach der Räumung durch den früheren Mieter an einen
nicht Eintrittsberechtigten vermietet. Bei Durchführung von
Verbesserungsarbeiten verlängert sich diese Frist auf 18
Monate.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zu Wohnzwecken verwendet werden. Unter
„Wohnzwecke“ sind auch solche beruflichen Tätigkeiten zu verstehen,
die üblicherweise auch in Wohnungen ausgeübt werden.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2. Mietdauer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Typ 3 ist gem § 29 Abs 1 Z 3 lit b
eine Befristung möglich. Diese darf jedoch drei Jahre nicht
unterschreiten; eine Höchstgrenze für die Dauer der Befristung gibt
es nicht. Zu beachten ist, dass bei befristeten Mietverhältnissen
für die Dauer der Befristung der vereinbarte Mietzins 25 %
unter dem bei unbefristeten Mietverträgen zulässigen, angemessenen
Mietzins zu liegen hat. Wird der befristete Hauptmietvertrag
nachträglich in ein unbefristetes Mietverhältnis umgewandelt, so
kann ab dem Zeitpunkt der Umwandlung der volle angemessene Mietzins
nur verlangt werden, sofern schon im (befristeten) Mietvertrag der
angemessene und der reduzierte Mietzins gegenübergestellt
wurden.</w:t>
      </w:r>
    </w:p>
    <w:p>
      <w:pPr>
        <w:widowControl w:val="on"/>
        <w:pBdr/>
        <w:spacing w:before="140" w:after="240" w:line="288" w:lineRule="auto"/>
        <w:ind w:left="0" w:right="0"/>
        <w:jc w:val="left"/>
      </w:pPr>
      <w:r>
        <w:rPr>
          <w:rFonts w:ascii="Arial" w:hAnsi="Arial" w:eastAsia="Arial" w:cs="Arial"/>
          <w:color w:val="000000"/>
          <w:sz w:val="20"/>
          <w:szCs w:val="20"/>
        </w:rPr>
        <w:t xml:space="preserve">Entweder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Variante 1 – befristetes Mietverhältnis:</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Das Mietverhältnis beginnt am … und wird auf exakt … Jahre
abgeschlossen. Es endet daher, ohne dass es einer Aufkündigung
bedürfte, am …</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Das Mietverhältnis kann jedoch einvernehmlich zeitlich unbegrenzt
und beliebig oft verlängert werden. Die Verlängerung hat für
mindestens drei Jahre zu erfolgen.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Das Mietverhältnis kann vom Mieter unter Einhaltung einer
einmonatigen Kündigungsfrist auf den letzten Tag eines jeden Monats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 1:</w:t>
            </w:r>
            <w:r>
              <w:rPr>
                <w:rFonts w:ascii="Arial" w:hAnsi="Arial" w:eastAsia="Arial" w:cs="Arial"/>
                <w:color w:val="277DB9"/>
                <w:position w:val="0"/>
                <w:sz w:val="20"/>
                <w:szCs w:val="20"/>
                <w:shd w:val="clear" w:color="auto" w:fill="FFFFFF"/>
              </w:rPr>
              <w:br/>
              <w:t xml:space="preserve">Zu beachten ist jedoch, dass Mietverträge, die nach Ablauf der
vereinbarten Dauer – etwa durch widerspruchslose Entgegennahme des
Mietzinses – nicht aufgelöst werden, stillschweigend als auf
unbestimmte Zeit erneuert gelten (§ 29 Abs 3 MRG).
§ 569 ZPO stellt eine widerlegliche Rechtsvermutung
dahingehend auf, dass eine Verlängerung anzunehmen ist, wenn nicht
binnen 14 Tagen ab Ablauf ein Vertragsteil seinen Willen, den
Mietvertrag nicht verlängern zu wollen, unmissverständlich zum
Ausdruck bringt.</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 2:</w:t>
            </w:r>
            <w:r>
              <w:rPr>
                <w:rFonts w:ascii="Arial" w:hAnsi="Arial" w:eastAsia="Arial" w:cs="Arial"/>
                <w:color w:val="277DB9"/>
                <w:position w:val="0"/>
                <w:sz w:val="20"/>
                <w:szCs w:val="20"/>
                <w:shd w:val="clear" w:color="auto" w:fill="FFFFFF"/>
              </w:rPr>
              <w:br/>
              <w:t xml:space="preserve">Wird dem Mieter kein vertragliches Kündigungsrecht eingeräumt, so
kann er nach Ablauf eines Jahres der ursprünglich vereinbarten oder
verlängerten Dauer des Mietverhältnisses jedenfalls jeweils zum
Monatsletzten unter Einhaltung einer dreimonatigen Kündigungsfrist
kündigen (§ 29 Abs 2 MRG).</w:t>
            </w:r>
          </w:p>
        </w:tc>
      </w:tr>
    </w:tbl>
    <w:p>
      <w:pPr>
        <w:widowControl w:val="on"/>
        <w:pBdr/>
        <w:spacing w:before="140" w:after="240" w:line="288" w:lineRule="auto"/>
        <w:ind w:left="0" w:right="0"/>
        <w:jc w:val="left"/>
      </w:pPr>
      <w:r>
        <w:rPr>
          <w:rFonts w:ascii="Arial" w:hAnsi="Arial" w:eastAsia="Arial" w:cs="Arial"/>
          <w:color w:val="000000"/>
          <w:sz w:val="20"/>
          <w:szCs w:val="20"/>
        </w:rPr>
        <w:t xml:space="preserve">Oder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Variante 2 – unbestimmte Zeit:</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Das Mietverhältnis beginnt am … und wird auf unbestimmte Zeit
abgeschlossen. Es kann von beiden Teilen unter Einhaltung einer
Kündigungsfrist von … zum Ende des Kalendermonats gerichtlich
aufgekündigt werden, vom Mieter jedoch auch außergerichtlich.</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 1:</w:t>
            </w:r>
            <w:r>
              <w:rPr>
                <w:rFonts w:ascii="Arial" w:hAnsi="Arial" w:eastAsia="Arial" w:cs="Arial"/>
                <w:color w:val="277DB9"/>
                <w:position w:val="0"/>
                <w:sz w:val="20"/>
                <w:szCs w:val="20"/>
                <w:shd w:val="clear" w:color="auto" w:fill="FFFFFF"/>
              </w:rPr>
              <w:br/>
              <w:t xml:space="preserve">Die Wahl der Kündigungsfrist steht den Vertragsparteien frei.</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 2:</w:t>
            </w:r>
            <w:r>
              <w:rPr>
                <w:rFonts w:ascii="Arial" w:hAnsi="Arial" w:eastAsia="Arial" w:cs="Arial"/>
                <w:color w:val="277DB9"/>
                <w:position w:val="0"/>
                <w:sz w:val="20"/>
                <w:szCs w:val="20"/>
                <w:shd w:val="clear" w:color="auto" w:fill="FFFFFF"/>
              </w:rPr>
              <w:br/>
              <w:t xml:space="preserve">Mietobjekte, die dem MRG ganz oder teilweise unterliegen, können
entweder einvernehmlich aufgelöst (Zustimmung aller Parteien) oder
ansonsten vom Vermieter nur gerichtlich und vom Mieter sowohl
gerichtlich als auch außergerichtlich aufgekündigt werden. Der
Vermieter ist aber berechtigt, die vorzeitige Aufhebung des
Mietvertrages aus den Gründen des § 1118 ABGB auch
außergerichtlich zu erklären.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Mietzins errechnet sich aus:</w:t>
      </w:r>
    </w:p>
    <w:p>
      <w:pPr>
        <w:widowControl w:val="on"/>
        <w:pBdr/>
        <w:spacing w:before="140" w:after="240" w:line="288" w:lineRule="auto"/>
        <w:ind w:left="0" w:right="0"/>
        <w:jc w:val="left"/>
      </w:pPr>
      <w:r>
        <w:rPr>
          <w:rFonts w:ascii="Arial" w:hAnsi="Arial" w:eastAsia="Arial" w:cs="Arial"/>
          <w:color w:val="000000"/>
          <w:sz w:val="20"/>
          <w:szCs w:val="20"/>
        </w:rPr>
        <w:t xml:space="preserve">Entweder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Variante 1 – befristetes Mietverhältnis:</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3.1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Dem gem § 16 Abs 7 MRG um 25 % für die Dauer
der Befristung reduzierten Hauptmietzins, das sind EUR … Der
angemessene Hauptmietzins ohne Befristungsabschlag beträgt
EUR …</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Nur wenn der vereinbarte reduzierte Mietzins dem höchstzulässigen
Mietzins ziffernmäßig gegenübergestellt wird, kann der Vermieter im
Falle einer Umwandlung des befristeten Mietverhältnisses in ein
unbefristetes Mietverhältnis den ausgewiesenen angemessenen
Hauptmietzins verlangen.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Oder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Variante 2 – unbestimmte Zeit:</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Dem angemessenen Hauptmietzins von monatlich EUR …</w:t>
            </w:r>
          </w:p>
        </w:tc>
      </w:tr>
    </w:tbl>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und öffentlichen Abgaben, der
entsprechend dem Nutzflächenschlüssel für diesen Mietgegenstand
derzeit …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dem Nutzflächenschlüssel sind alle Wohnungen im Haus (auch die
unvermieteten, jedoch vermietbaren) zu berücksichtigen. Sollten
einzelne Betriebskostenpositionen nicht nach den
Nutzflächenschlüssel aufgeteilt werden, so ist im Mietvertrag
darauf hinzuweisen.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und
Gemeinschaftseinrichtungen aller Art,
Gemeinschaftsheizung/Zentralheizung) gemäß obigem Prozentsatz.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Gegebenenfalls sind die Vorschriften des
Heizkostenabrechnungsgesetzes (Register 6, Kapitel 17.2) zu
beachten.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und allfälligen anderen
Steuern, Gebühren und dergleichen, die in Hinkunft für Mietzinse
und Betriebskosten zu entrichten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ist wie folgt wertgesichert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Wertmaßstab dient der von der Bundesanstalt Statistik
Austria monatlich verlautbarte Index der Verbraucherpreise 2010.
Schwankungen der Indexzahlen nach oben oder unten sind jedes Mal zu
berücksichtigen, sobald sie das Ausmaß von 5 % erreichen.
Dieser 5%ige Spielraum ist erstmals auf der Basis jener Indexzahl,
welche für den Monat … Geltung hat, zu berechnen. Der nach jeder
5%igen Indexänderung neu errechnete Hauptmietzins ist in der
gleichen Höhe solange zu entrichten, bis eine weitere
Indexveränderung von mindestens 5 % eintritt. Sollte der oben
genannte Index nicht mehr veröffentlicht werden, ist der Vermieter
berechtigt, einen identen Index, wie er von der Bundesanstalt
Statistik Austria oder deren Rechtsnachfolger oder einer ähnlichen
Institution ermittelt wird, anzuwenden. Der Vermieter ist nicht
berechtigt, Wertsicherungsansprüche für bereits vergangene
Mietzinsperioden geltend zu machen.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Normalerweise wird die Indexzahl des Monats des Vertragsabschlusses
gewählt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im Sinne einer gerechten Aufteilung auflaufender
Kosten verpflichtet, am Betrieb der vorhandenen
Gemeinschaftseinrichtungen (Punkt 3.3)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ausdrücklich mit dem Abschluss, der Erneuerung
oder der Änderung von Verträgen über die angemessene Versicherung
des Hauses gegen Glasbruch und Sturmschaden einverstanden, sodass
der Vermieter – im Fall der Zustimmung der Mehrheit der Mieter –
berechtigt ist, die hierfür anfallenden Versicherungsprämien auf
die Mieter als Betriebskosten überzuwälzen. Ohne Zustimmung der
Mehrheit der Mieter könnte der Vermieter diese Prämien nicht im
Wege der Betriebskosten überwälzen, sondern im Fall eines
Schadeneintritts die Reparaturkosten nur aus der
Hauptzinsmietreserve oder im Wege einer Mietzinserhöhung
gem § 18 ff MRG abdecken.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öffentlichen Abgaben sowie Zuschläge für Aufzug, Zentralheizung und
Versicherung monatliche Pauschalbeträge in gleichbleibender Höhe
gegen einmalige jährliche Verrechnung entrichtet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Im Fall seines
Verzuges verpflichtet sich der Mieter, dem Vermieter Verzugszinsen
in gesetzlicher Höhe ab Fälligkeitstag ebenso zu vergüten wie
notwendig gewordene Mahnspesen.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3.10</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sich bereit, den Mietzins samt allem Anhang
im Bankeinzugsverfahren zu begleichen, und verpflichtet sich, die
notwendigen mündlichen und schriftlichen Erklärungen gegenüber den
Kreditinstituten zur Durchführung des Einzugsverfahrens abzugeben.
Diese Bereitschaft bedeutet jedoch nicht, dass der Vermieter
berechtigt wäre, die Bezahlung in anderer Form abzulehnen.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vereinbart, dass der Mieter gegenüber dem Vermieter
allenfalls bestehende Gegenforderungen nicht mit dem Mietzins, den
Betriebskosten oder sonstigen dem Vermieter zustehenden Ansprüchen
aufrechnen darf, es sei denn die Gegenforderung steht in
rechtlichem Zusammenhang mit der Verbindlichkeit des Mieters, ist
gerichtlich festgestellt oder ist vom Vermieter anerkannt.</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…/ein Überbringersparbuch über EUR …, das nicht durch
ein Losungswort gesichert oder in anderer Weise in seiner
Verwertbarkeit beschränkt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einer Barkaution wird der Vermieter nach seiner Wahl
dieses Bargeld entweder auf einem Sparbuch oder
Sparkonto/Festgeldkonto in Form eines Anderkontos veranlagen, wobei
das Sparbuch bzw das Anderkonto zum Zeitpunkt der Veranlagung und
im Hinblick auf die angesichts der Mietdauer mögliche Bindung
brachenübliche Zinsen zu bieten hat. Vorbehaltlich Gegenforderungen
wird der Vermieter dem Mieter nach Rückstellung des Mietgegenstands
die Kaution zuzüglich Zinsen abzüglich Veranlagungskosten
ausfolgen.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Bankgarantie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Barkaution/das Sparbuch kann durch eine abstrakte
Bankgarantie in gleicher Höhe mit einer Laufzeit von mindestens
einem Jahr ersetzt werden, mit der sich die Bank verpflichtet, über
erste Anforderung und ohne Prüfung des Rechtsgrundes Forderungen
des Vermieters aus diesem Vertrag binnen drei Banktagen an diesen
zu bezahlen. Der Mieter verpflichtet sich, im Falle einer
befristeten Garantie bis drei Kalendermonate vor Ablauf der
Garantie unaufgefordert eine neue oder eine Verlängerungserklärung
der Bank unter Berücksichtigung einer allfälligen Erhöhung
beizubringen, widrigenfalls der Vermieter berechtigt ist, auch ohne
Vorliegen fälliger Forderungen die Garantie abzurufen und den
erlangten Betrag als Barkaution zu widmen.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Ergänzungspflicht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berechtigter Inanspruchnahme der Kaution aus dem Titel
fälliger Forderungen durch den Vermieter ist der Mieter
verpflichtet, die Kaution wieder auf die letztgültige volle Höhe zu
ergänzen.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Zinsausfällen betreffend das gegenständliche
Mietobjekt, welcher Art auch immer (einschließlich anteiliger
Betriebskosten), Abnützung, Beschädigung, Devastierung des
Mietgegenstandes, Entfernung oder Vernichtung von Inventar und
Beschädigungen anderer Teile des Hauses, jeweils durch den Mieter
oder ihm zurechenbare Personen (Familienangehörige, Dienstleute,
Hausgenossen, Gäste und Handwerker) gem § 1111 ABGB. 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Zurückstellung wird – sofern keine Beschädigungen am
Mietobjekt bestehen – unverzüglich nach Rückstellung des
Mietobjekts fällig. Sollten hingegen Beschädigungen am
Bestandobjekt bestehen, wird die Rückzahlung der Kaution erst nach
einer angemessenen Frist zur Feststellung der Kosten der Behebung
dieser Beschädigungen fällig.</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5. Übergabe/Übernahme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Anlässlich der Übergabe verpflichten sich die Vertragsparteien
ein Übergabeprotokoll (samt Fotodokumentation) zu errichten, in dem
sie den Zustand des Mietobjekts bei Übergabe festzuhalten
haben.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den Mietgegenstand und die für den
Mietgegenstand bestimmten Einrichtungen, wie im Besonderen die
Lichtleitungs-, Gasleitungs-, Wasserleitungs-, Beheizungs-
(einschließlich von zentralen Wärmeversorgungsanlagen) und
sanitären Anlagen sowie die gemeinschaftlichen Einrichtungen und
Anlagen pfleglich und schonend zu behandeln. Der Mieter
verpflichtet sich ferner zum Ersatz jedes Schadens, der dem
Vermieter aus unsachgemäßer Behandlung des Mietobjektes durch ihn
und ihm zurechenbare Personen (Familienangehörige, Dienstleute,
Hausgenossen, Gäste und Handwerker) (§ 1111 ABGB) entsteht,
sofern den Mieter und/oder diese Personen ein Verschulden
trifft.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Alle derartigen Schäden sind bei Gefahr im Verzug sofort,
ansonsten jedenfalls binnen eines Monats zu beheben.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allfällige Schäden am Mietobjekt, an den
allgemeinen Teilen des Hauses und den allgemeinen Einrichtungen
ohne Verzug dem Vermieter zu melden.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Schäden, die infolge nicht umgehender Anzeige entstanden
sind, haftet der Mieter, sofern eine rechtzeitige Anzeige den
Schaden geringer gehalten hätte und ihn an der verspäteten Anzeige
ein Verschulden trifft.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den Mietgegenstand und die für den
Mietgegenstand bestimmten Einrichtungen, wie im Besonderen die
Lichtleitungs-, Gasleitungs-, Wasserleitungs-, Beheizungs-
(einschließlich von zentralen Wärmeversorgungsanlagen) und
sanitären Anlagen so zu warten und, soweit es sich nicht um die
Behebung von ernsten Schäden, die Beseitigung einer erheblichen
Gesundheitsgefährdung des Hauses oder die Erhaltung der
mitvermieteten Heiztherme und des mitvermieteten Warmwasserboilers
handelt, so instand zu halten, dass dem Vermieter und den anderen
Mietern des Hauses kein Nachteil erwächst. Insbesondere hat der
Mieter die mitvermietete Heiztherme und den mitvermieteten
Warmwasserboiler regelmäßig durch hierzu befugte Fachleute im
erforderlichen Umfang warten zu lassen und dem Vermieter die
Wartung nachzuweisen.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Den Vermieter trifft keine über § 3 MRG hinausgehende
Erhaltungspflicht.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Verlegung zusätzlicher Energieleitungen im Inneren des
Mietgegenstandes und auch in den allgemeinen Teilen des Hauses ist
dem Mieter nur gestattet, wenn diese der Haushaltsführung
dienen.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Ebenso ist dem Mieter die Verlegung zusätzlicher
Nachrichtenleitungen und anderer technischer Einrichtungen im
Inneren des Mietgegenstandes und auch in den allgemeinen Teilen des
Hauses nur gestattet, wenn diese verkehrsüblich sind.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Anderenfalls ist die Verlegung derartiger Leitungen nur mit
Zustimmung des Vermieters statthaft.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Leitungen sind jedenfalls unter Putz zu verlegen.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kann es einem Mieter im ortsüblichen Ausmaß nicht
untersagt werden, solche Leitungen zu verlegen, allerdings wird die
Formulierung zur beträchtlichen Einschränkung derartiger Vorhaben
dienlich sein.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Derartige Installationen dürfen – vorbehaltlich des § 9 MRG
– nur bei sonstiger Verpflichtung des Mieters zur Wiederherstellung
des vorigen Zustandes nach den entsprechenden technischen
Vorschriften und nur durch dazu befugte Professionisten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Vornahme aller baulichen Veränderungen des Mietgegenstands
durch den Mieter – sofern es sich nicht um bloß geringfügige, die
Interessen des Vermieters (insbesondere Substanz und äußeres
Erscheinungsbild des Hauses) oder anderer Hausbewohner nicht
negativ berührende Änderungen handelt – bedarf der vorherigen
Zustimmung des Vermieters (§ 9 MRG). Der Mieter verpflichtet
sich, beabsichtigte Veränderungen am Mietgegenstand dem Vermieter
rechtzeitig anzuzeigen. Die Anzeige hat Art und Umfang der
Veränderungen sowie eine Liste der Gewerbebetriebe zu enthalten,
die die Veränderungen vornehmen sollen. Die Arbeiten dürfen nur von
behördlich befugten Gewerbsleuten geplant und durchgeführt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Zustimmung des Vermieters zu diesen baulichen Veränderungen
begründet keine Haftung des Vermieters für etwaige aus den
baulichen Veränderungen resultierende Schäden.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Ohne Zustimmung des Vermieters darf der Mieter außerhalb des
Mietobjekts insbesondere keine Lichtreklamen anbringen, soweit im
Einzelfall nicht eine ausdrückliche gesetzliche Vorschrift dies dem
Mieter gestattet. Dem Mieter ist es hingegen gestattet
Steckschilder, Namens- oder Firmentafeln zu montieren.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Untersagt ist das Abstellen von motorisierten Fahrzeugen jeder
Art im Mietobjekt und in den allgemeinen Teilen des Hauses und der
Liegenschaft, die Einrichtung von Werkstätten, der Einsatz von
Maschinen, insbesondere Werkzeugmaschinen und anderen
haushaltsfremden Gerätschaften, die ungebührlichen Lärm oder
Emissionen anderer Art (Geruch, Dämpfe) erzeugen. Verboten ist auch
die Einlagerung von gefährlichen Gegenständen wie feuer- oder
explosionsgefährlichen Stoffen.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 der zeitweiligen Störung der zentralen
Versorgungseinrichtungen wie Heizung, Warmwasser, Wasser, Aufzüge,
Gas ist der Mieter nicht berechtigt, Schadenersatzansprüche
abzuleiten, es sei denn den Vermieter trifft zumindest grobes
Verschulden an der Störung. Im Fall eines Personenschadens hat der
Vermieter dem Mieter hingegen bereits bei leichter Fahrlässigkeit
Ersatz zu 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zur Kenntnis, dass er zwar zur Mitbenutzung der
allgemeinen Teile des Hauses berechtigt ist, jedoch ist ihm die
andere Mieter ausschließende Nutzung untersagt. Ebenso ist die
Benützung der Hof- oder Gangflächen, auch zur Abstellung von
Gegenständen oder Material jeder Art unzulässig. Der Mieter nimmt
zur Kenntnis, dass eine solche Vorgangsweise als Besitzstörung
geahndet werden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oder ein von ihm Beauftragter (insbesondere
Personen, die im Mietgegenstand ihren beruflichen Verpflichtungen
nachkommen müssen, wie zB Rauchfangkehrer oder andere Handwerker
können den Mietgegenstand aus wichtigem Grund (soweit dies im
Interesse der Erhaltung oder der Ausübung der notwendigen Aufsicht
erforderlich ist sowie im Fall der Aufkündigung zur Besichtigung
mit Mietinteressenten sowie im Fall des Verkaufs der Liegenschaft
zur Besichtigung mit Kaufinteressenten) gegen Voranmeldung
betreten. Bei Gefahr in Verzug entfällt die Verpflichtung zur
Voranmeldung.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Mieter seinen oben dargestellten Verpflichtungen nicht
auf eigene Kosten nach, so ist der Vermieter unter Einhaltung des
§ 8 Abs 2 MRG berechtigt, die notwendigen Arbeiten auf
Kosten des Mieters durch befugte Professionisten seiner Wahl zu
branchenüblichen Preisen und Stundensätzen durchführen zu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Ausschaltung oder Beeinträchtigung von
Gemeinschaftseinrichtungen und der Ersatz solcher Einrichtungen,
die dem Mieter ökonomischer oder sonst günstiger erscheinen, ist
dem Mieter verboten. Dies gilt insbesondere für Änderungen an
energietechnischen Anlagen.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8. Rückgabe des Bestandgegenstandes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Bestandzeit ist der Mieter verpflichtet, dem
Vermieter das Bestandobjekt in – unter Berücksichtigung der
gewöhnlichen Abnützung – gutem Zustand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
bis zu dem der tatsächlichen Übergabe folgenden Monatsletzten.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9. Weitergabe –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Bestandobjekt unterzuvermieten oder anderweitig in
Bestand zu geben. Jede Weitergabe des Bestandrechtes ist unwirksam
und unstatthaft.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Kündigungsgrund seitens des Vermieters gem § 30
Abs 2 Z 13 MRG vereinbart, dass im Fall eines Verkaufes
des Hauses der Vermieter den Mietvertrag aufkündigen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Vermieter jederzeit das Recht zu,
den Mietvertrag im Sinne der Bestimmungen des § 1118 ABGB
fristlos aufzulösen.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11.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 1:</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 2:</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12.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einen Satz Schlüssel, weitere Schlüssel hat der
Mieter auf eigene Kosten herstellen zu lassen.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Unter Punkt 13 und 14 folgen nun noch zwei mögliche Zusätze, die
nur nach besonderer Abschätzung des Risikos und Rücksprache mit
geeigneten Beratern in den Vertrag aufgenommen werden sollten.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13. Mietzinsvorauszahlung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leistet eine Mietzinsvorauszahlung in Höhe von
EUR …</w:t>
            </w:r>
          </w:p>
        </w:tc>
      </w:tr>
    </w:tbl>
    <w:p>
      <w:pPr>
        <w:widowControl w:val="on"/>
        <w:pBdr/>
        <w:spacing w:before="140" w:after="240" w:line="288" w:lineRule="auto"/>
        <w:ind w:left="0" w:right="0"/>
        <w:jc w:val="left"/>
      </w:pPr>
      <w:r>
        <w:rPr>
          <w:rFonts w:ascii="Arial" w:hAnsi="Arial" w:eastAsia="Arial" w:cs="Arial"/>
          <w:color w:val="000000"/>
          <w:sz w:val="20"/>
          <w:szCs w:val="20"/>
        </w:rPr>
        <w:t xml:space="preserve">Zwei Varianten:</w:t>
      </w:r>
    </w:p>
    <w:p>
      <w:pPr>
        <w:widowControl w:val="on"/>
        <w:pBdr/>
        <w:spacing w:before="140" w:after="240" w:line="288" w:lineRule="auto"/>
        <w:ind w:left="0" w:right="0"/>
        <w:jc w:val="left"/>
      </w:pPr>
      <w:r>
        <w:rPr>
          <w:rFonts w:ascii="Arial" w:hAnsi="Arial" w:eastAsia="Arial" w:cs="Arial"/>
          <w:color w:val="000000"/>
          <w:sz w:val="20"/>
          <w:szCs w:val="20"/>
        </w:rPr>
        <w:t xml:space="preserve">Entweder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Variante 1:</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Diese Vorauszahlung deckt den Hauptmietzins exklusive
Betriebskosten für den Zeitraum bis zum … Ab diesem Tag gelten die
weiter oben vereinbarten Bestimmungen über Fälligkeiten und
Zahlungsmodalitäten.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Oder</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Variante 2:</w:t>
      </w:r>
    </w:p>
    <w:tbl>
      <w:tblPr>
        <w:tblStyle w:val="NormalTablePHPDOCX"/>
        <w:tblW w:w="5000" w:type="pct"/>
        <w:tblInd w:w="0" w:type="auto"/>
        <w:tblBorders>
          <w:top w:val="nil" w:color="277DB9" w:sz="0"/>
          <w:left w:val="nil" w:color="277DB9" w:sz="0"/>
          <w:bottom w:val="nil" w:color="277DB9" w:sz="0"/>
          <w:right w:val="nil" w:color="277DB9"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Durch diese Vorauszahlung wird ein Anteil von monatlich
EUR … auf den Mietzins für den Zeitraum bis zum …
vorausgeleistet und ist nur die Differenz zum vereinbarten Mietzins
zuzüglich Betriebskosten monatlich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Nach Ablauf des genannten Zeitraumes gelten die weiter oben
vereinbarten Modalitäten.</w:t>
            </w:r>
          </w:p>
          <w:p>
            <w:pPr>
              <w:widowControl w:val="on"/>
              <w:pBdr/>
              <w:shd w:val="clear" w:color="auto" w:fill="FFFFFF"/>
              <w:spacing w:before="0" w:after="0" w:line="288" w:lineRule="auto"/>
              <w:ind w:left="0" w:right="0"/>
              <w:jc w:val="left"/>
              <w:textAlignment w:val="top"/>
            </w:pPr>
            <w:r>
              <w:rPr>
                <w:rFonts w:ascii="Arial" w:hAnsi="Arial" w:eastAsia="Arial" w:cs="Arial"/>
                <w:color w:val="277DB9"/>
                <w:position w:val="0"/>
                <w:sz w:val="20"/>
                <w:szCs w:val="20"/>
                <w:shd w:val="clear" w:color="auto" w:fill="FFFFFF"/>
              </w:rPr>
              <w:t xml:space="preserve">Hinweis:</w:t>
            </w:r>
            <w:r>
              <w:rPr>
                <w:rFonts w:ascii="Arial" w:hAnsi="Arial" w:eastAsia="Arial" w:cs="Arial"/>
                <w:color w:val="277DB9"/>
                <w:position w:val="0"/>
                <w:sz w:val="20"/>
                <w:szCs w:val="20"/>
                <w:shd w:val="clear" w:color="auto" w:fill="FFFFFF"/>
              </w:rPr>
              <w:br/>
              <w:t xml:space="preserve">Auch für Mietzinsvorauszahlungen gilt die Angemessenheitsprüfung.
Daher kann auf diesem Wege nur eine Fälligkeit vorverlegt, aber
keine betragliche Erhöhung erreicht werden.</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14. Entgeltlicher Verzicht auf Kündigungsgründe</w:t>
      </w:r>
    </w:p>
    <w:p>
      <w:pPr>
        <w:widowControl w:val="on"/>
        <w:pBdr/>
        <w:spacing w:before="140" w:after="240" w:line="288" w:lineRule="auto"/>
        <w:ind w:left="0" w:right="0"/>
        <w:jc w:val="left"/>
      </w:pPr>
      <w:r>
        <w:rPr>
          <w:rFonts w:ascii="Arial" w:hAnsi="Arial" w:eastAsia="Arial" w:cs="Arial"/>
          <w:color w:val="000000"/>
          <w:sz w:val="20"/>
          <w:szCs w:val="20"/>
        </w:rPr>
        <w:t xml:space="preserve">Der Mieter bezahlt anlässlich des Abschlusses dieses
Mietvertrages für den Verzicht des Vermieters auf die
Kündigungsgründe des § 30 Abs 2 Z 4 und 6 MRG einen
Betrag in Höhe von EUR … (betragsmäßig beschränkt mit dem
zehnfachen Jahresmietzins: § 27 Abs 2 lit b MRG).
Der Mieter erklärt, einen weiteren Wohnsitz in … zu unterhalten und
diesen Vertrag nur zur Deckung künftigen eigenen Bedarfs und zur
zwischenzeitigen Untervermietung abzuschließen. Im Fall der
Unrichtigkeit dieser Angaben hält der Mieter den Vermieter für alle
Nachteile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Damit können zwar recht erhebliche Beträge eingenommen werden, in
weiterer Folge kann der Mieter fast wie ein Eigentümer agieren
-&gt; nicht unbedingt empfehlenswert!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89332">
    <w:multiLevelType w:val="hybridMultilevel"/>
    <w:lvl w:ilvl="0" w:tplc="56433251">
      <w:start w:val="1"/>
      <w:numFmt w:val="decimal"/>
      <w:lvlText w:val="%1."/>
      <w:lvlJc w:val="left"/>
      <w:pPr>
        <w:ind w:left="720" w:hanging="360"/>
      </w:pPr>
    </w:lvl>
    <w:lvl w:ilvl="1" w:tplc="56433251" w:tentative="1">
      <w:start w:val="1"/>
      <w:numFmt w:val="lowerLetter"/>
      <w:lvlText w:val="%2."/>
      <w:lvlJc w:val="left"/>
      <w:pPr>
        <w:ind w:left="1440" w:hanging="360"/>
      </w:pPr>
    </w:lvl>
    <w:lvl w:ilvl="2" w:tplc="56433251" w:tentative="1">
      <w:start w:val="1"/>
      <w:numFmt w:val="lowerRoman"/>
      <w:lvlText w:val="%3."/>
      <w:lvlJc w:val="right"/>
      <w:pPr>
        <w:ind w:left="2160" w:hanging="180"/>
      </w:pPr>
    </w:lvl>
    <w:lvl w:ilvl="3" w:tplc="56433251" w:tentative="1">
      <w:start w:val="1"/>
      <w:numFmt w:val="decimal"/>
      <w:lvlText w:val="%4."/>
      <w:lvlJc w:val="left"/>
      <w:pPr>
        <w:ind w:left="2880" w:hanging="360"/>
      </w:pPr>
    </w:lvl>
    <w:lvl w:ilvl="4" w:tplc="56433251" w:tentative="1">
      <w:start w:val="1"/>
      <w:numFmt w:val="lowerLetter"/>
      <w:lvlText w:val="%5."/>
      <w:lvlJc w:val="left"/>
      <w:pPr>
        <w:ind w:left="3600" w:hanging="360"/>
      </w:pPr>
    </w:lvl>
    <w:lvl w:ilvl="5" w:tplc="56433251" w:tentative="1">
      <w:start w:val="1"/>
      <w:numFmt w:val="lowerRoman"/>
      <w:lvlText w:val="%6."/>
      <w:lvlJc w:val="right"/>
      <w:pPr>
        <w:ind w:left="4320" w:hanging="180"/>
      </w:pPr>
    </w:lvl>
    <w:lvl w:ilvl="6" w:tplc="56433251" w:tentative="1">
      <w:start w:val="1"/>
      <w:numFmt w:val="decimal"/>
      <w:lvlText w:val="%7."/>
      <w:lvlJc w:val="left"/>
      <w:pPr>
        <w:ind w:left="5040" w:hanging="360"/>
      </w:pPr>
    </w:lvl>
    <w:lvl w:ilvl="7" w:tplc="56433251" w:tentative="1">
      <w:start w:val="1"/>
      <w:numFmt w:val="lowerLetter"/>
      <w:lvlText w:val="%8."/>
      <w:lvlJc w:val="left"/>
      <w:pPr>
        <w:ind w:left="5760" w:hanging="360"/>
      </w:pPr>
    </w:lvl>
    <w:lvl w:ilvl="8" w:tplc="56433251" w:tentative="1">
      <w:start w:val="1"/>
      <w:numFmt w:val="lowerRoman"/>
      <w:lvlText w:val="%9."/>
      <w:lvlJc w:val="right"/>
      <w:pPr>
        <w:ind w:left="6480" w:hanging="180"/>
      </w:pPr>
    </w:lvl>
  </w:abstractNum>
  <w:abstractNum w:abstractNumId="67589331">
    <w:multiLevelType w:val="hybridMultilevel"/>
    <w:lvl w:ilvl="0" w:tplc="92186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89331">
    <w:abstractNumId w:val="67589331"/>
  </w:num>
  <w:num w:numId="67589332">
    <w:abstractNumId w:val="675893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01888056" Type="http://schemas.openxmlformats.org/officeDocument/2006/relationships/numbering" Target="numbering.xml"/><Relationship Id="rId22509474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