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numbering.xml" ContentType="application/vnd.openxmlformats-officedocument.wordprocessingml.numbering+xml"/>
  <Override PartName="/word/comments.xml" ContentType="application/vnd.openxmlformats-officedocument.wordprocessingml.commen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84174418" w:name="document"/>
    <w:bookmarkEnd w:id="84174418"/>
    <w:p/>
    <w:p>
      <w:pPr>
        <w:widowControl w:val="on"/>
        <w:pBdr/>
        <w:spacing w:before="0" w:after="280" w:line="240" w:lineRule="auto"/>
        <w:ind w:left="0" w:right="0"/>
        <w:jc w:val="left"/>
      </w:pPr>
      <w:r>
        <w:rPr>
          <w:rFonts w:ascii="Arial" w:hAnsi="Arial" w:eastAsia="Arial" w:cs="Arial"/>
          <w:color w:val="363A40"/>
          <w:sz w:val="24"/>
          <w:szCs w:val="24"/>
        </w:rPr>
        <w:t xml:space="preserve">Dokument-ID: 1029132 | Christine Fidler-Faßmann
- Andrea Futterknecht | Muster | Schriftsatzmuster</w:t>
      </w:r>
    </w:p>
    <w:p>
      <w:pPr>
        <w:widowControl w:val="on"/>
        <w:pBdr/>
        <w:spacing w:before="340" w:after="220" w:line="268" w:lineRule="auto"/>
        <w:ind w:left="0" w:right="0"/>
        <w:jc w:val="left"/>
        <w:outlineLvl w:val="0"/>
      </w:pPr>
      <w:r>
        <w:rPr>
          <w:rFonts w:ascii="Arial" w:hAnsi="Arial" w:eastAsia="Arial" w:cs="Arial"/>
          <w:b/>
          <w:bCs/>
          <w:color w:val="363A40"/>
          <w:sz w:val="36"/>
          <w:szCs w:val="36"/>
        </w:rPr>
        <w:t xml:space="preserve">Antrag auf Erlassung einer einstweiligen Verfügung gem § 382b
EO</w:t>
      </w:r>
    </w:p>
    <w:p>
      <w:pPr>
        <w:widowControl w:val="on"/>
        <w:pBdr/>
        <w:spacing w:before="140" w:after="240" w:line="288" w:lineRule="auto"/>
        <w:ind w:left="0" w:right="0"/>
        <w:jc w:val="left"/>
      </w:pPr>
      <w:r>
        <w:rPr>
          <w:rFonts w:ascii="Arial" w:hAnsi="Arial" w:eastAsia="Arial" w:cs="Arial"/>
          <w:b/>
          <w:bCs/>
          <w:color w:val="000000"/>
          <w:sz w:val="20"/>
          <w:szCs w:val="20"/>
        </w:rPr>
        <w:t xml:space="preserve">Vorbemerkungen</w:t>
      </w:r>
      <w:r>
        <w:rPr>
          <w:rFonts w:ascii="Arial" w:hAnsi="Arial" w:eastAsia="Arial" w:cs="Arial"/>
          <w:color w:val="000000"/>
          <w:sz w:val="20"/>
          <w:szCs w:val="20"/>
        </w:rPr>
        <w:br/>
        <w:t xml:space="preserve">In Fällen der Gewalt ist zu unterscheiden zwischen der
einstweiligen Verfügung zum Schutz vor Gewalt in Wohnungen
(§ 382b iVm §§ 382e ff EO) und der einstweiligen
Verfügung zum allgemeinen Schutz vor Gewalt (§ 382c EO).
Wichtiges Unterscheidungsmerkmal dieser beiden einstweiligen
Verfügungen ist, dass bei der Verfügung nach § 382b EO das
dringende Wohnbedürfnis der gefährdeten Person und bei der
Verfügung nach § 382c EO die Interessenabwägung zugunsten der
gefährdeten Partei zu bescheinigen ist.</w:t>
      </w:r>
    </w:p>
    <w:p>
      <w:r>
        <w:pict>
          <v:rect id="_x0000_i1026" style="width:0;height:1.5pt" o:hralign="center" o:hrstd="t" o:hr="t" o:hrnoshade="t" fillcolor="#a0a0a0" stroked="f"/>
        </w:pict>
      </w:r>
    </w:p>
    <w:p>
      <w:pPr>
        <w:widowControl w:val="on"/>
        <w:pBdr/>
        <w:spacing w:before="140" w:after="240" w:line="288" w:lineRule="auto"/>
        <w:ind w:left="0" w:right="0"/>
        <w:jc w:val="left"/>
      </w:pPr>
      <w:r>
        <w:rPr>
          <w:rFonts w:ascii="Arial" w:hAnsi="Arial" w:eastAsia="Arial" w:cs="Arial"/>
          <w:color w:val="000000"/>
          <w:sz w:val="20"/>
          <w:szCs w:val="20"/>
        </w:rPr>
        <w:t xml:space="preserve">per WebERV</w:t>
      </w:r>
    </w:p>
    <w:p>
      <w:pPr>
        <w:widowControl w:val="on"/>
        <w:pBdr/>
        <w:spacing w:before="140" w:after="240" w:line="288" w:lineRule="auto"/>
        <w:ind w:left="0" w:right="0"/>
        <w:jc w:val="left"/>
      </w:pPr>
      <w:r>
        <w:rPr>
          <w:rFonts w:ascii="Arial" w:hAnsi="Arial" w:eastAsia="Arial" w:cs="Arial"/>
          <w:color w:val="000000"/>
          <w:sz w:val="20"/>
          <w:szCs w:val="20"/>
        </w:rPr>
        <w:t xml:space="preserve">An das</w:t>
      </w:r>
      <w:r>
        <w:rPr>
          <w:rFonts w:ascii="Arial" w:hAnsi="Arial" w:eastAsia="Arial" w:cs="Arial"/>
          <w:color w:val="000000"/>
          <w:sz w:val="20"/>
          <w:szCs w:val="20"/>
        </w:rPr>
        <w:br/>
        <w:t xml:space="preserve">Bezirksgericht Liesing</w:t>
      </w:r>
      <w:r>
        <w:rPr>
          <w:rFonts w:ascii="Arial" w:hAnsi="Arial" w:eastAsia="Arial" w:cs="Arial"/>
          <w:color w:val="000000"/>
          <w:sz w:val="20"/>
          <w:szCs w:val="20"/>
        </w:rPr>
        <w:br/>
        <w:t xml:space="preserve">Haeckelstraße 8</w:t>
      </w:r>
      <w:r>
        <w:rPr>
          <w:rFonts w:ascii="Arial" w:hAnsi="Arial" w:eastAsia="Arial" w:cs="Arial"/>
          <w:color w:val="000000"/>
          <w:sz w:val="20"/>
          <w:szCs w:val="20"/>
        </w:rPr>
        <w:br/>
        <w:t xml:space="preserve">1230 Wien</w:t>
      </w:r>
    </w:p>
    <w:p>
      <w:pPr>
        <w:widowControl w:val="on"/>
        <w:pBdr/>
        <w:spacing w:before="140" w:after="240" w:line="288" w:lineRule="auto"/>
        <w:ind w:left="0" w:right="0"/>
        <w:jc w:val="right"/>
      </w:pPr>
      <w:r>
        <w:rPr>
          <w:rFonts w:ascii="Arial" w:hAnsi="Arial" w:eastAsia="Arial" w:cs="Arial"/>
          <w:color w:val="000000"/>
          <w:sz w:val="20"/>
          <w:szCs w:val="20"/>
        </w:rPr>
        <w:t xml:space="preserve">Wien, am …</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Antragstellerin:</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 B, geb 01.01.1980</w:t>
            </w:r>
            <w:r>
              <w:rPr>
                <w:rFonts w:ascii="Arial" w:hAnsi="Arial" w:eastAsia="Arial" w:cs="Arial"/>
                <w:color w:val="000000"/>
                <w:position w:val="0"/>
                <w:sz w:val="20"/>
                <w:szCs w:val="20"/>
                <w:shd w:val="clear" w:color="auto" w:fill="FFFFFF"/>
              </w:rPr>
              <w:br/>
              <w:t xml:space="preserve">C-Straße 1</w:t>
            </w:r>
            <w:r>
              <w:rPr>
                <w:rFonts w:ascii="Arial" w:hAnsi="Arial" w:eastAsia="Arial" w:cs="Arial"/>
                <w:color w:val="000000"/>
                <w:position w:val="0"/>
                <w:sz w:val="20"/>
                <w:szCs w:val="20"/>
                <w:shd w:val="clear" w:color="auto" w:fill="FFFFFF"/>
              </w:rPr>
              <w:br/>
              <w:t xml:space="preserve">1230 Wien</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Antragsgegner:</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 E, geb 02.02.1990</w:t>
            </w:r>
            <w:r>
              <w:rPr>
                <w:rFonts w:ascii="Arial" w:hAnsi="Arial" w:eastAsia="Arial" w:cs="Arial"/>
                <w:color w:val="000000"/>
                <w:position w:val="0"/>
                <w:sz w:val="20"/>
                <w:szCs w:val="20"/>
                <w:shd w:val="clear" w:color="auto" w:fill="FFFFFF"/>
              </w:rPr>
              <w:br/>
              <w:t xml:space="preserve">C-Straße 1</w:t>
            </w:r>
            <w:r>
              <w:rPr>
                <w:rFonts w:ascii="Arial" w:hAnsi="Arial" w:eastAsia="Arial" w:cs="Arial"/>
                <w:color w:val="000000"/>
                <w:position w:val="0"/>
                <w:sz w:val="20"/>
                <w:szCs w:val="20"/>
                <w:shd w:val="clear" w:color="auto" w:fill="FFFFFF"/>
              </w:rPr>
              <w:br/>
              <w:t xml:space="preserve">1230 Wien</w:t>
            </w:r>
          </w:p>
        </w:tc>
      </w:tr>
    </w:tbl>
    <w:p>
      <w:pPr>
        <w:widowControl w:val="on"/>
        <w:pBdr/>
        <w:spacing w:before="240" w:after="60" w:line="346" w:lineRule="auto"/>
        <w:ind w:left="0" w:right="0"/>
        <w:jc w:val="center"/>
        <w:outlineLvl w:val="1"/>
      </w:pPr>
      <w:r>
        <w:rPr>
          <w:rFonts w:ascii="Arial" w:hAnsi="Arial" w:eastAsia="Arial" w:cs="Arial"/>
          <w:b/>
          <w:bCs/>
          <w:color w:val="363A40"/>
          <w:sz w:val="28"/>
          <w:szCs w:val="28"/>
        </w:rPr>
        <w:t xml:space="preserve">Antrag auf Erlassung einer
einstweiligen Verfügung gem § 382b EO</w:t>
      </w:r>
    </w:p>
    <w:p>
      <w:pPr>
        <w:widowControl w:val="on"/>
        <w:pBdr/>
        <w:spacing w:before="140" w:after="240" w:line="288" w:lineRule="auto"/>
        <w:ind w:left="0" w:right="0"/>
        <w:jc w:val="left"/>
      </w:pPr>
      <w:r>
        <w:rPr>
          <w:rFonts w:ascii="Arial" w:hAnsi="Arial" w:eastAsia="Arial" w:cs="Arial"/>
          <w:color w:val="000000"/>
          <w:sz w:val="20"/>
          <w:szCs w:val="20"/>
        </w:rPr>
        <w:t xml:space="preserve">Die Parteien sind seit … [Datum] verheiratet und leben in der
gemeinsamen Ehewohnung in 1230 Wien, C-Straße 1.</w:t>
      </w:r>
    </w:p>
    <w:p>
      <w:pPr>
        <w:widowControl w:val="on"/>
        <w:pBdr/>
        <w:spacing w:before="140" w:after="240" w:line="288" w:lineRule="auto"/>
        <w:ind w:left="0" w:right="0"/>
        <w:jc w:val="left"/>
      </w:pPr>
      <w:r>
        <w:rPr>
          <w:rFonts w:ascii="Arial" w:hAnsi="Arial" w:eastAsia="Arial" w:cs="Arial"/>
          <w:color w:val="000000"/>
          <w:sz w:val="20"/>
          <w:szCs w:val="20"/>
        </w:rPr>
        <w:t xml:space="preserve">Am 06.12.20… hatte der Antragsgegner viel Alkohol getrunken und
war sehr aggressiv. Dies war nicht das erste Mal, dass er mehr
trank als er vertrug. Dieses Mal eskalierte jedoch ein Streit über
das Fernsehprogramm und der Antragsgegner schlug der
Antragstellerin mit der Faust in den Magen und dann ins Gesicht.
Die Gegnerin rief die Polizei, welche den Antragsteller daraufhin
weggewiesen hat. Die Polizei hat gegen den Antragsgegner am selben
Tag ein Betretungsverbot für die Wohnung verhängt.</w:t>
      </w:r>
    </w:p>
    <w:p>
      <w:pPr>
        <w:widowControl w:val="on"/>
        <w:pBdr/>
        <w:spacing w:before="140" w:after="240" w:line="288" w:lineRule="auto"/>
        <w:ind w:left="0" w:right="0"/>
        <w:jc w:val="left"/>
      </w:pPr>
      <w:r>
        <w:rPr>
          <w:rFonts w:ascii="Arial" w:hAnsi="Arial" w:eastAsia="Arial" w:cs="Arial"/>
          <w:color w:val="000000"/>
          <w:sz w:val="20"/>
          <w:szCs w:val="20"/>
        </w:rPr>
        <w:t xml:space="preserve">Durch den körperlichen Angriff des Antragsgegners ist das
weitere Zusammenleben für die Antragstellerin unzumutbar. Die
Antragstellerin hat ein dringendes Wohnbedürfnis an der Wohnung in
1239 Wien, C-Straße 1. Sie verfügt sonst über keine Möglichkeit zu
wohnen.</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Bescheinigungsmittel:</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PV</w:t>
            </w:r>
            <w:r>
              <w:rPr>
                <w:rFonts w:ascii="Arial" w:hAnsi="Arial" w:eastAsia="Arial" w:cs="Arial"/>
                <w:color w:val="000000"/>
                <w:position w:val="0"/>
                <w:sz w:val="20"/>
                <w:szCs w:val="20"/>
                <w:shd w:val="clear" w:color="auto" w:fill="FFFFFF"/>
              </w:rPr>
              <w:br/>
              <w:t xml:space="preserve">Mietvertrag betreffend die Wohnung</w:t>
            </w:r>
            <w:r>
              <w:rPr>
                <w:rFonts w:ascii="Arial" w:hAnsi="Arial" w:eastAsia="Arial" w:cs="Arial"/>
                <w:color w:val="000000"/>
                <w:position w:val="0"/>
                <w:sz w:val="20"/>
                <w:szCs w:val="20"/>
                <w:shd w:val="clear" w:color="auto" w:fill="FFFFFF"/>
              </w:rPr>
              <w:br/>
              <w:t xml:space="preserve">Betretungsverbot des Stadtpolizeikommandos vom 06.12.20…</w:t>
            </w:r>
          </w:p>
        </w:tc>
      </w:tr>
    </w:tbl>
    <w:p>
      <w:pPr>
        <w:widowControl w:val="on"/>
        <w:pBdr/>
        <w:spacing w:before="140" w:after="240" w:line="288" w:lineRule="auto"/>
        <w:ind w:left="0" w:right="0"/>
        <w:jc w:val="left"/>
      </w:pPr>
      <w:r>
        <w:rPr>
          <w:rFonts w:ascii="Arial" w:hAnsi="Arial" w:eastAsia="Arial" w:cs="Arial"/>
          <w:color w:val="000000"/>
          <w:sz w:val="20"/>
          <w:szCs w:val="20"/>
        </w:rPr>
        <w:t xml:space="preserve">Es wird daher folgender Beschluss beantragt:</w:t>
      </w:r>
    </w:p>
    <w:p>
      <w:pPr>
        <w:numPr>
          <w:ilvl w:val="0"/>
          <w:numId w:val="40116208"/>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Dem Antragsgegner wird der Aufenthalt in der Wohnung in 1230
Wien, C-Straße 1, sowie der unmittelbaren Umgebung der Wohnung
verboten.</w:t>
      </w:r>
    </w:p>
    <w:p>
      <w:pPr>
        <w:numPr>
          <w:ilvl w:val="0"/>
          <w:numId w:val="40116208"/>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Dem Antragsgegner wird aufgetragen, das Zusammentreffen sowie
die Kontaktaufnahme mit der Antragstellerin zu vermeiden.</w:t>
      </w:r>
    </w:p>
    <w:p>
      <w:pPr>
        <w:numPr>
          <w:ilvl w:val="0"/>
          <w:numId w:val="40116208"/>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Der Antragsgegner ist verpflichtet die Schlüssel zur Wohnung
und zur Garage auszufolgen.</w:t>
      </w:r>
    </w:p>
    <w:p>
      <w:pPr>
        <w:numPr>
          <w:ilvl w:val="0"/>
          <w:numId w:val="40116208"/>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Die einstweilige Verfügung gilt für die Dauer von vier
Monaten.</w:t>
      </w:r>
    </w:p>
    <w:p>
      <w:pPr>
        <w:numPr>
          <w:ilvl w:val="0"/>
          <w:numId w:val="40116208"/>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Die beantragten Maßnahmen sind sofort zu vollziehen und die
Antragstellerin ist vom Zeitpunkt des Vollzugs zu verständigen. Die
Exekutive wird beauftragt, jeweils auf Ersuchen der Antragstellerin
den der einstweiligen Verfügung entsprechenden Zustand durch
unmittelbare Befehls- und Zwangsgewalt herzustellen.</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Anmerkungen:</w:t>
      </w:r>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49196743" w:name="note1"/>
            <w:bookmarkEnd w:id="49196743"/>
            <w:bookmarkStart w:id="730118697796" w:name="note1"/>
            <w:r>
              <w:rPr>
                <w:rFonts w:ascii="Arial" w:hAnsi="Arial" w:eastAsia="Arial" w:cs="Arial"/>
                <w:b/>
                <w:bCs/>
                <w:color w:val="000000"/>
                <w:position w:val="0"/>
                <w:sz w:val="20"/>
                <w:szCs w:val="20"/>
              </w:rPr>
              <w:t xml:space="preserve">[1]</w:t>
            </w:r>
            <w:bookmarkEnd w:id="730118697796"/>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Voraussetzung für die Erlassung einer einstweiligen Verfügung
nach § 382b EO ist, dass</w:t>
            </w:r>
          </w:p>
          <w:p>
            <w:pPr>
              <w:numPr>
                <w:ilvl w:val="0"/>
                <w:numId w:val="274104732"/>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ein körperlicher Angriff,</w:t>
            </w:r>
          </w:p>
          <w:p>
            <w:pPr>
              <w:numPr>
                <w:ilvl w:val="0"/>
                <w:numId w:val="274104732"/>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eine Drohung mit einem solchen körperlichen Angriff oder</w:t>
            </w:r>
          </w:p>
          <w:p>
            <w:pPr>
              <w:numPr>
                <w:ilvl w:val="0"/>
                <w:numId w:val="274104732"/>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Psychoterror (ein die psychische Gesundheit erheblich
beeinträchtigendes Verhalten)</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vorliegt und dieses Verhalten das weitere Zusammenleben
unzumutbar macht.</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Die bloße Unterlassung der adäquaten Beaufsichtigung einer
Person – selbst vor dem Hintergrund einer allfällig damit
einhergehenden Gefährdung ihrer körperlichen Unversehrtheit –
stellt keinen körperlichen Angriff iSd §§ 382b, 382c EO dar
(OGH 20.11.2024, 7 Ob 186/24i).</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17354622" w:name="note2"/>
            <w:bookmarkEnd w:id="17354622"/>
            <w:bookmarkStart w:id="1682100081098" w:name="note2"/>
            <w:r>
              <w:rPr>
                <w:rFonts w:ascii="Arial" w:hAnsi="Arial" w:eastAsia="Arial" w:cs="Arial"/>
                <w:b/>
                <w:bCs/>
                <w:color w:val="000000"/>
                <w:position w:val="0"/>
                <w:sz w:val="20"/>
                <w:szCs w:val="20"/>
              </w:rPr>
              <w:t xml:space="preserve">[2]</w:t>
            </w:r>
            <w:bookmarkEnd w:id="1682100081098"/>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„Psychoterror“ ist, weil die Zumutbarkeitsfrage entscheidet,
nicht nach objektiven, sondern nach subjektiven Kriterien zu
beurteilen. Von Bedeutung ist aber nicht ein Verhalten, welches der
Durchschnittsmensch als „Psychoterror“ empfände, sondern die
Wirkung eines bestimmten Verhaltens gerade auf die Psyche der
Antragstellerin (RS0110446). Die mit einem Scheidungsverfahren
üblicherweise verbundene nervliche Belastung ist noch keine
erhebliche Beeinträchtigung der psychischen Gesundheit. Die
Wegweisung darf in keinem Fall eine unangemessene Reaktion auf das
Verhalten des Antragsgegners sein. Die subjektive Auslegung des
Begriffs „Psychoterror" kann nicht so weit gehen, dass jegliches
Verhalten, das nicht den normalen Umgangsformen entspricht, aus
einer subjektiven Sichtweise heraus die Unzumutbarkeit des
Zusammenlebens begründen könnte (RS0121302).</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Das Überwachen und Ausspionieren der Telefonkontakte der
Antragstellerin und „Beweismittelbeschaffungen“ (als
Tonaufnahmegerät verwendetes, verstecktes Mobiltelefon in der
Ehewohnung, Entnehmen von Haaren von der Haarbürste für einen
Suchtmitteltest), die bei der Antragstellerin zu Belastungen und
vegetativen Beschwerden führten, rechtfertigen die Erlassung einer
einstweiligen Verfügung nach § 382b EO, weil es sich dabei um
schwerwiegende Vertrauensbrüche und unerträgliche Eingriffe in die
Privatsphäre eines Ehegatten handelt, die auch im Rahmen eines
anhängigen Scheidungsverfahrens keinesfalls zu tolerieren sind und
damit der Antragstellerin das weitere Zusammenleben unzumutbar
machen (7 Ob 151/17g).</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1109652" w:name="note3"/>
            <w:bookmarkEnd w:id="1109652"/>
            <w:bookmarkStart w:id="3735434022516" w:name="note3"/>
            <w:r>
              <w:rPr>
                <w:rFonts w:ascii="Arial" w:hAnsi="Arial" w:eastAsia="Arial" w:cs="Arial"/>
                <w:b/>
                <w:bCs/>
                <w:color w:val="000000"/>
                <w:position w:val="0"/>
                <w:sz w:val="20"/>
                <w:szCs w:val="20"/>
              </w:rPr>
              <w:t xml:space="preserve">[3]</w:t>
            </w:r>
            <w:bookmarkEnd w:id="3735434022516"/>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Eine EV zum Schutz vor Gewalt in Wohnung setzt voraus, dass eine
Person einer anderen Person durch einen körperlichen Angriff, eine
Drohung mit einem solchen oder ein die psychische Gesundheit
erheblich beeinträchtigendes Verhalten das weitere Zusammenleben
unzumutbar macht und die gefährdete Partei ein dringendes
Wohnbedürfnis an der gegenständlichen Wohnung besteht. Auf die
Eigentumsverhältnisse der Wohnung kommt es dabei nicht an. Das
Gericht kann dann verfügen, dass der Gegner der gefährdeten Partei
die Wohnung und die unmittelbare Umgebung verlassen muss und die
Rückkehr und die unmittelbare Umgebung verbieten. Maßgeblich für
die Beurteilung der Unzumutbarkeit eines weiteren Zusammenlebens
nach § 382b EO sind Ausmaß, Häufigkeit und Intensität der
bereits – auch schon länger zurückliegenden – angedrohten oder gar
verwirklichten Angriffe sowie bei – ernst gemeinten und als solche
verstandenen – Drohungen die Wahrscheinlichkeit deren Ausführung.
Je massiver das dem Antragsgegner zur Last fallende Verhalten auf
die körperliche und seelische Integrität des Opfers eingewirkt hat,
je schwerer die unmittelbaren Auswirkungen und die weiteren
Beeinträchtigungen des Antragsgegners sind und je häufiger es zu
solchen Vorfällen gekommen ist, desto eher wird unter den
maßgeblichen Umständen des Einzelfalls von einer Unzumutbarkeit des
weiteren Zusammenlebens auszugehen sein. Je leichtere Folgen das
Verhalten des Antragsgegners gezeitigt hat, je länger es – ohne
weitere „einschlägige“ Vorkommnisse – zurückliegt und je mehr sich
der Antragsgegner in der Folge bewährt hat, desto eher wird man dem
betroffenen Ehegatten das weitere Zusammenleben zumuten können
(RIS-Justiz RS0110446).</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78713729" w:name="note4"/>
            <w:bookmarkEnd w:id="78713729"/>
            <w:bookmarkStart w:id="224116806144" w:name="note4"/>
            <w:r>
              <w:rPr>
                <w:rFonts w:ascii="Arial" w:hAnsi="Arial" w:eastAsia="Arial" w:cs="Arial"/>
                <w:b/>
                <w:bCs/>
                <w:color w:val="000000"/>
                <w:position w:val="0"/>
                <w:sz w:val="20"/>
                <w:szCs w:val="20"/>
              </w:rPr>
              <w:t xml:space="preserve">[4]</w:t>
            </w:r>
            <w:bookmarkEnd w:id="224116806144"/>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Antragsberechtigt sind nicht nur die „nahen Angehörigen“,
sondern generell jede Person, der das weitere Zusammenleben durch
eine andere Person unzumutbar gemacht wird. Es werden daher
beispielsweise auch bloße Wohngemeinschaften, zB von Studenten,
geschützt. Erfasst wird nicht nur das Zusammenleben in einer
Wohnung im engeren Sinn, sondern auch in einem Haus oder jedem
sonstigen gemeinsam bewohnten Wohnobjekt. Irrelevant ist, wer
Eigentümer, Mieter oder Nutzungsberechtigter der Wohnung ist, denn
es kann auch der Mieter aus der von ihm gemieteten Wohnung oder der
Wohnungseigentümer aus seiner Eigentumswohnung verwiesen
werden.</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28826072" w:name="note5"/>
            <w:bookmarkEnd w:id="28826072"/>
            <w:bookmarkStart w:id="542787695257" w:name="note5"/>
            <w:r>
              <w:rPr>
                <w:rFonts w:ascii="Arial" w:hAnsi="Arial" w:eastAsia="Arial" w:cs="Arial"/>
                <w:b/>
                <w:bCs/>
                <w:color w:val="000000"/>
                <w:position w:val="0"/>
                <w:sz w:val="20"/>
                <w:szCs w:val="20"/>
              </w:rPr>
              <w:t xml:space="preserve">[5]</w:t>
            </w:r>
            <w:bookmarkEnd w:id="542787695257"/>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Ob ein Wohnbedarf dringend ist, ist eine Rechtsfrage. Solange
der Antragsgegner nicht das Gegenteil darlegt, ist von einem
dringenden Wohnbedürfnis des Antragstellers auszugehen (OGH 7 Ob
6/13b = Zak 2013/213).</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Anders als nach § 382c EO „Allgemeiner Schutz vor Gewalt“
bedarf es keiner Interessenabwägung bei einer EV nach § 382b
EO „Schutz vor Gewalt in Wohnungen“ (7 Ob 127/13x; 7 Ob 134/17g).
Außerdem hat bei einer solchen EV eine Abwägung, ob das
Wohnbedürfnis des Antragstellers oder des Antragsgegners dringender
sei, nicht stattzufinden (7 Ob 77/16y, EFSlg 159.351). Ob dem
Gegner der gefährdeten Partei im Falle einer Wegweisung
Obdachlosigkeit droht, spielt daher keine Rolle (EFSlg 46.869,
52.408).</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Ein dringendes Wohnbedürfnis ist dann gegeben, wenn dem
Antragsteller keine gleichwertige andere Wohnmöglichkeit zur
Verfügung steht. Bei der Beurteilung der Gleichwertigkeit der
anderweitigen Unterkunft ist auf die Dauer des Prozesses
abzustellen; eine zur Verfügung stehende Mietwohnung wäre dem
Wohnen im eigenen Haus gleichwertig (EFSlg 58.025).</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Es kommt nicht auf Gleichwertigkeit in tatsächlicher Hinsicht,
sondern das Vorliegen einer rechtlich gesicherten Position an; der
Antragsteller müsste daher bereits im Zeitpunkt der
erstinstanzlichen Beschlussfassung in eine sofort benutzbare
Ersatzwohnung kraft eigenen Rechts ausweichen können (EFSlg
159.338).</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Bei der Entscheidung, ob ein dringendes Wohnbedürfnis des
Antragstellers vorliegt, ist auch auf die Unterbringungsmöglichkeit
der Kinder bzw auf das Verhalten des Gewalttäters gegenüber den
Kindern Bedacht zu nehmen (EFSlg 52.411).</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Das dringende Wohnbedürfnis fehlt, wenn der Antragsteller aus
eigenem Recht über eine ausreichende und gleichwertige
Ersatzwohnung verfügt. Die fehlende Gleichwertigkeit kann sich auch
aus der Entfernung und der Unzumutbarkeit einer Übersiedlung
ergeben (7 Ob 77/16y).</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Keine gleichwertige Wohnmöglichkeit ist gegeben</w:t>
            </w:r>
          </w:p>
          <w:p>
            <w:pPr>
              <w:numPr>
                <w:ilvl w:val="0"/>
                <w:numId w:val="955673106"/>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hinsichtlich einer Unterkunft bei den Eltern oder anderen
Verwandten (EFSlg 30.268, 46.872, 49.569, 91.338),</w:t>
            </w:r>
          </w:p>
          <w:p>
            <w:pPr>
              <w:numPr>
                <w:ilvl w:val="0"/>
                <w:numId w:val="955673106"/>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bei Aufnahme in einem Altersheim (EFSlg 44.279),</w:t>
            </w:r>
          </w:p>
          <w:p>
            <w:pPr>
              <w:numPr>
                <w:ilvl w:val="0"/>
                <w:numId w:val="955673106"/>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bei Aufnahme in einem Frauenhaus oder einer ähnlichen
Einrichtung,</w:t>
            </w:r>
          </w:p>
          <w:p>
            <w:pPr>
              <w:numPr>
                <w:ilvl w:val="0"/>
                <w:numId w:val="955673106"/>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hinsichtlich einer bloß prekaristischen Unterkunft (EFSlg
94.827),</w:t>
            </w:r>
          </w:p>
          <w:p>
            <w:pPr>
              <w:numPr>
                <w:ilvl w:val="0"/>
                <w:numId w:val="955673106"/>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bei Nächtigungsmöglichkeit in einem Dienstzimmer (EFSlg 41.976)
oder</w:t>
            </w:r>
          </w:p>
          <w:p>
            <w:pPr>
              <w:numPr>
                <w:ilvl w:val="0"/>
                <w:numId w:val="955673106"/>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wenn (bei Lebensmittelpunkt im Inland) nur eine 200 km
entfernte Wohnung im Ausland vorhanden ist (EFSlg 98.678),</w:t>
            </w:r>
          </w:p>
          <w:p>
            <w:pPr>
              <w:numPr>
                <w:ilvl w:val="0"/>
                <w:numId w:val="955673106"/>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wenn eine krebskranke Person in ein geerbtes Haus umziehen
müsste, sofern sich dadurch die Entfernung ihres Wohnsitzes von den
vertrauten Behandlungseinrichtungen von ca 55 km auf
140 km vergrößert (OGH 25.5.2016, 7 Ob 77/16y).</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63951043" w:name="note6"/>
            <w:bookmarkEnd w:id="63951043"/>
            <w:bookmarkStart w:id="8407179859572" w:name="note6"/>
            <w:r>
              <w:rPr>
                <w:rFonts w:ascii="Arial" w:hAnsi="Arial" w:eastAsia="Arial" w:cs="Arial"/>
                <w:b/>
                <w:bCs/>
                <w:color w:val="000000"/>
                <w:position w:val="0"/>
                <w:sz w:val="20"/>
                <w:szCs w:val="20"/>
              </w:rPr>
              <w:t xml:space="preserve">[6]</w:t>
            </w:r>
            <w:bookmarkEnd w:id="8407179859572"/>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Die Erlassung einer einstweiligen Verfügung nach § 382b EO
setzt die Bescheinigung eines konkreten Verhaltens des
Antragsgegners voraus, das Gewaltanwendung im weiteren Sinn
beinhaltet. Die Bescheinigung des bloßen Verdachts, der
Antragsgegner verhalte sich gewalttätig – die Ausübung sexueller
Gewalt ist von diesem Begriff selbstverständlich umfasst – reicht
für die Annahme, das Verhalten des Antragsgegners mache das weitere
Zusammenleben/Zusammentreffen unzumutbar, nicht (RIS-Justiz
RS0124434).</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90613259" w:name="note7"/>
            <w:bookmarkEnd w:id="90613259"/>
            <w:bookmarkStart w:id="5036612153137" w:name="note7"/>
            <w:r>
              <w:rPr>
                <w:rFonts w:ascii="Arial" w:hAnsi="Arial" w:eastAsia="Arial" w:cs="Arial"/>
                <w:b/>
                <w:bCs/>
                <w:color w:val="000000"/>
                <w:position w:val="0"/>
                <w:sz w:val="20"/>
                <w:szCs w:val="20"/>
              </w:rPr>
              <w:t xml:space="preserve">[7]</w:t>
            </w:r>
            <w:bookmarkEnd w:id="5036612153137"/>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Die EV zum Schutz vor Gewalt in Wohnungen kann gem § 382e
Abs 1 EO längstens für sechs Monate angeordnet werden. Das
Gericht kann zusätzlich die Dauer mit dem rechtskräftigen Abschluss
des anhängigen oder eines binnen der angeordneten Dauer
einzuleitenden Verfahrens in der Hauptsache (zB
Scheidungsverfahren, Aufteilungsverfahren oder ein Verfahren zur
Klärung der Benützungsberechtigung an der
verfahrensgegenständlichen Wohnung) festsetzen.</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21641927" w:name="note8"/>
            <w:bookmarkEnd w:id="21641927"/>
            <w:bookmarkStart w:id="797257928000" w:name="note8"/>
            <w:r>
              <w:rPr>
                <w:rFonts w:ascii="Arial" w:hAnsi="Arial" w:eastAsia="Arial" w:cs="Arial"/>
                <w:b/>
                <w:bCs/>
                <w:color w:val="000000"/>
                <w:position w:val="0"/>
                <w:sz w:val="20"/>
                <w:szCs w:val="20"/>
              </w:rPr>
              <w:t xml:space="preserve">[8]</w:t>
            </w:r>
            <w:bookmarkEnd w:id="797257928000"/>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Der Gegner der gefährdeten Partei ist nicht anzuhören, wenn eine
weitere Gefährdung der gefährdeten Partei droht. Dies hat das
Gericht insbesondere aufgrund des Polizeiberichts einzuschätzen,
sofern die Polizei bereits involviert ist. Das Gericht hat den
Bericht der Sicherheitsbehörde von Amts wegen beizuschaffen hat;
die Sicherheitsbehörden sind verpflichtet, solche Berichte den
Gerichten unverzüglich zu übersenden. Wird der Antrag bei
aufrechtem Betretungs- und Annäherungsverbot gestellt (§ 38a
Abs 10 SPG), so ist dieser dem Antragsgegner unverzüglich
zuzustellen.</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Findet doch eine Anhörung statt, kann diese nicht virtuell (vgl
§ 59a EO) erfolgen, wenn die Einvernehmung innerhalb einer
drei Tage unterschreitenden Frist angeordnet wird und sich die
geladene Person dagegen ausspricht (§ 389 Abs 3 EO)</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7995802" w:name="note9"/>
            <w:bookmarkEnd w:id="7995802"/>
            <w:bookmarkStart w:id="3386282506382" w:name="note9"/>
            <w:r>
              <w:rPr>
                <w:rFonts w:ascii="Arial" w:hAnsi="Arial" w:eastAsia="Arial" w:cs="Arial"/>
                <w:b/>
                <w:bCs/>
                <w:color w:val="000000"/>
                <w:position w:val="0"/>
                <w:sz w:val="20"/>
                <w:szCs w:val="20"/>
              </w:rPr>
              <w:t xml:space="preserve">[9]</w:t>
            </w:r>
            <w:bookmarkEnd w:id="3386282506382"/>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EV zum Schutz vor Gewalt in Wohnungen sind sofort von Amts wegen
oder auf Antrag zu vollziehen. Das Vollstreckungsorgan
(Gerichtsvollzieher bzw Polizei) hat den Antragsgegner aus der
Wohnung zu weisen und die Wohnungsschlüssel abzunehmen. Der/Die
Wohnungsschlüssel werden bei Gericht hinterlegt. Der Gegner der
gefährdeten Partei hat dann noch die Möglichkeit persönliche
Gegenstände aus der Wohnung mitzunehmen.</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85165376" w:name="note10"/>
            <w:bookmarkEnd w:id="85165376"/>
            <w:bookmarkStart w:id="3960072078780" w:name="note10"/>
            <w:r>
              <w:rPr>
                <w:rFonts w:ascii="Arial" w:hAnsi="Arial" w:eastAsia="Arial" w:cs="Arial"/>
                <w:b/>
                <w:bCs/>
                <w:color w:val="000000"/>
                <w:position w:val="0"/>
                <w:sz w:val="20"/>
                <w:szCs w:val="20"/>
              </w:rPr>
              <w:t xml:space="preserve">[10]</w:t>
            </w:r>
            <w:bookmarkEnd w:id="3960072078780"/>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Nach dem Gewaltschutzgesetz 2019 werden bei involvierten
minderjährigen Personen nicht nur der zuständige Kinder- und
Jugendhilfeträger, sondern auch das zuständige Pflegschaftsgericht
unverzüglich verständigt. Daher kann das Pflegschaftsgericht in
einem allenfalls bereits anhängigen Verfahren darauf Bedacht
nehmen.</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39116797" w:name="note11"/>
            <w:bookmarkEnd w:id="39116797"/>
            <w:bookmarkStart w:id="5588877330887" w:name="note11"/>
            <w:r>
              <w:rPr>
                <w:rFonts w:ascii="Arial" w:hAnsi="Arial" w:eastAsia="Arial" w:cs="Arial"/>
                <w:b/>
                <w:bCs/>
                <w:color w:val="000000"/>
                <w:position w:val="0"/>
                <w:sz w:val="20"/>
                <w:szCs w:val="20"/>
              </w:rPr>
              <w:t xml:space="preserve">[11]</w:t>
            </w:r>
            <w:bookmarkEnd w:id="5588877330887"/>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Bevor abgenommene Schlüssel vom Gericht wieder ausgefolgt
werden, sind die Parteien einzuvernehmen. Sollte sich ergeben, dass
die Verfügungsbefugnis strittig ist, werden die Schlüssel weiter
gerichtlich verwahrt und sind die Parteien auf den streitigen
Rechtsweg zu verweisen. Diese durch das Gewaltschutzgesetz 2019
eingefügte Bestimmung stellt die Grundlage dafür dar, dass
abgenommene Schlüssel auch anderen Personen wieder ausgefolgt
werden können als jenen, den sie abgenommen wurden (zB weil
zwischenzeitig in einem Aufteilungsverfahren eine geänderte
Regelung zur Ehewohnung getroffen wurde).</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78083495" w:name="note12"/>
            <w:bookmarkEnd w:id="78083495"/>
            <w:bookmarkStart w:id="3175037533274" w:name="note12"/>
            <w:r>
              <w:rPr>
                <w:rFonts w:ascii="Arial" w:hAnsi="Arial" w:eastAsia="Arial" w:cs="Arial"/>
                <w:b/>
                <w:bCs/>
                <w:color w:val="000000"/>
                <w:position w:val="0"/>
                <w:sz w:val="20"/>
                <w:szCs w:val="20"/>
              </w:rPr>
              <w:t xml:space="preserve">[12]</w:t>
            </w:r>
            <w:bookmarkEnd w:id="3175037533274"/>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Sofern der Antragsgegner noch nicht an einer
Gewaltpräventionsberatung nach § 38a Abs 8 SPG
teilgenommen hat, kann ihm das Gericht auf Antrag der gefährdeten
Partei oder von Amts wegen auftragen, binnen fünf Tagen ab
Erlassung der einstweiligen Verfügung eine Beratungsstelle für
Gewaltprävention zur Vereinbarung einer Beratung zu kontaktieren
und aktiv an einer Beratung zur Gewaltprävention teilzunehmen. Die
Beratung hat längstens innerhalb von 14 Tagen ab Kontaktaufnahme
erstmals stattzufinden. Zuwiderhandlungen werden mit Geldstrafe bis
zu EUR 2.500,–, im Wiederholungsfall mit Geldstrafe bis zu
EUR 5.000,–, im Fall der Uneinbringlichkeit mit
Ersatzfreiheitsstrafe bis zu sechs Wochen bestraft.</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62398874" w:name="note13"/>
            <w:bookmarkEnd w:id="62398874"/>
            <w:bookmarkStart w:id="5348786473770" w:name="note13"/>
            <w:r>
              <w:rPr>
                <w:rFonts w:ascii="Arial" w:hAnsi="Arial" w:eastAsia="Arial" w:cs="Arial"/>
                <w:b/>
                <w:bCs/>
                <w:color w:val="000000"/>
                <w:position w:val="0"/>
                <w:sz w:val="20"/>
                <w:szCs w:val="20"/>
              </w:rPr>
              <w:t xml:space="preserve">[13]</w:t>
            </w:r>
            <w:bookmarkEnd w:id="5348786473770"/>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Die Frage der gerichtlichen Zuständigkeit regelt § 387 EO.
Dabei ist primär darauf abzustellen, ob schon ein Verfahren
anhängig ist. Bei einem anhängigen Verfahren ist das Gericht des
Hauptverfahrens für das Provisorialverfahren zuständig; bei einem
anhängigen Exekutionsverfahren ist es das Exekutionsgericht,
ansonsten richtet sich die Zuständigkeit grundsätzlich nach dem
allgemeinen Gerichtsstand der gefährdeten Partei.</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54824080" w:name="note14"/>
            <w:bookmarkEnd w:id="54824080"/>
            <w:bookmarkStart w:id="5097181996450" w:name="note14"/>
            <w:r>
              <w:rPr>
                <w:rFonts w:ascii="Arial" w:hAnsi="Arial" w:eastAsia="Arial" w:cs="Arial"/>
                <w:b/>
                <w:bCs/>
                <w:color w:val="000000"/>
                <w:position w:val="0"/>
                <w:sz w:val="20"/>
                <w:szCs w:val="20"/>
              </w:rPr>
              <w:t xml:space="preserve">[14]</w:t>
            </w:r>
            <w:bookmarkEnd w:id="5097181996450"/>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Das Gericht hat gem § 391 Abs 1 Satz 1 EO die Zeit,
für welche es die einstweilige Verfügung bewilligt, von Amts wegen
zu bestimmen, ohne dabei an die Anträge der Parteien gebunden zu
sein; es hat deshalb die Fristbestimmung erforderlichenfalls auch
ohne Antrag der gefährdeten Partei beizusetzen (RS0005363).</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80468303" w:name="note15"/>
            <w:bookmarkEnd w:id="80468303"/>
            <w:bookmarkStart w:id="9612891326332" w:name="note15"/>
            <w:r>
              <w:rPr>
                <w:rFonts w:ascii="Arial" w:hAnsi="Arial" w:eastAsia="Arial" w:cs="Arial"/>
                <w:b/>
                <w:bCs/>
                <w:color w:val="000000"/>
                <w:position w:val="0"/>
                <w:sz w:val="20"/>
                <w:szCs w:val="20"/>
              </w:rPr>
              <w:t xml:space="preserve">[15]</w:t>
            </w:r>
            <w:bookmarkEnd w:id="9612891326332"/>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Mit Anordnung eines Betretungs- und Annäherungsverbotes gem
§ 38a SPG gilt seit 01.01.2022 auch ein vorläufiges
Waffenverbot als ausgesprochen; dies unabhängig davon, ob die
Gefährderin oder der Gefährder Waffen, Munition oder
waffenrechtliche Urkunden besitzt.</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Die Behörden sind ermächtigt,</w:t>
            </w:r>
          </w:p>
          <w:p>
            <w:pPr>
              <w:numPr>
                <w:ilvl w:val="0"/>
                <w:numId w:val="601703748"/>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Waffen und Munition sowie</w:t>
            </w:r>
          </w:p>
          <w:p>
            <w:pPr>
              <w:numPr>
                <w:ilvl w:val="0"/>
                <w:numId w:val="601703748"/>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Urkunden (ausgenommen Jagdkarten), die nach diesem Bundesgesetz
zum Erwerb, Besitz, Führen oder zur Einfuhr von Waffen oder
Munition berechtigen,</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sicherzustellen. Die Organe haben dem Betroffenen über die
Aussprache des vorläufigen Waffenverbots sowie im Falle einer
Sicherstellung über diese sofort eine Bestätigung auszustellen.</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Ein vorläufiges Waffenverbot gem § 13 Abs 1 WaffG gilt
für die Dauer von vier Wochen und zieht ein verwaltungsrechtliches
Verfahren nach sich, im Zuge dessen über die Verhängung eines
(dauerhaften) Waffenverbotes gem § 12 WaffG entschieden
wird.</w:t>
            </w:r>
          </w:p>
        </w:tc>
      </w:tr>
    </w:tbl>
    <w:sectPr xmlns:w="http://schemas.openxmlformats.org/wordprocessingml/2006/main" xmlns:r="http://schemas.openxmlformats.org/officeDocument/2006/relationships" w:rsidR="00F961DC" w:rsidSect="001A2D5D">
      <w:headerReference w:type="even" r:id="rId7"/>
      <w:headerReference w:type="default" r:id="rId8"/>
      <w:footerReference w:type="even" r:id="rId9"/>
      <w:footerReference w:type="default" r:id="rId10"/>
      <w:headerReference w:type="first" r:id="rId11"/>
      <w:footerReference w:type="first" r:id="rId12"/>
      <w:pgSz w:w="11906" w:h="16838" w:orient="portrait" w:code="9"/>
      <w:pgMar w:top="1417" w:right="1701" w:bottom="1417" w:left="1701" w:header="708" w:footer="708" w:gutter="0"/>
      <w:cols w:space="708" w:num="1"/>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2D5D" w:rsidRDefault="001A2D5D" w:rsidP="001A2D5D">
      <w:pPr>
        <w:spacing w:after="0" w:line="240" w:lineRule="auto"/>
      </w:pPr>
      <w:r>
        <w:separator/>
      </w:r>
    </w:p>
  </w:endnote>
  <w:endnote w:type="continuationSeparator" w:id="0">
    <w:p w:rsidR="001A2D5D" w:rsidRDefault="001A2D5D" w:rsidP="001A2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szCs w:val="16"/>
      </w:rPr>
      <w:id w:val="-272557442"/>
      <w:docPartObj>
        <w:docPartGallery w:val="Page Numbers (Bottom of Page)"/>
        <w:docPartUnique/>
      </w:docPartObj>
    </w:sdtPr>
    <w:sdtEndPr/>
    <w:sdtContent>
      <w:sdt>
        <w:sdtPr>
          <w:rPr>
            <w:rFonts w:ascii="Arial" w:hAnsi="Arial" w:cs="Arial"/>
            <w:sz w:val="16"/>
            <w:szCs w:val="16"/>
          </w:rPr>
          <w:id w:val="-1294594795"/>
          <w:docPartObj>
            <w:docPartGallery w:val="Page Numbers (Top of Page)"/>
            <w:docPartUnique/>
          </w:docPartObj>
        </w:sdtPr>
        <w:sdtEndPr/>
        <w:sdtContent>
          <w:bookmarkStart w:id="0" w:name="_GoBack" w:displacedByCustomXml="prev"/>
          <w:p w:rsidR="001A2D5D" w:rsidRPr="001A2D5D" w:rsidRDefault="001A2D5D">
            <w:pPr>
              <w:pStyle w:val="Fuzeile"/>
              <w:jc w:val="right"/>
              <w:rPr>
                <w:rFonts w:ascii="Arial" w:hAnsi="Arial" w:cs="Arial"/>
                <w:sz w:val="16"/>
                <w:szCs w:val="16"/>
              </w:rPr>
            </w:pPr>
            <w:r w:rsidRPr="00E73211">
              <w:rPr>
                <w:rFonts w:ascii="Arial" w:hAnsi="Arial" w:cs="Arial"/>
                <w:color w:val="000000" w:themeColor="text1"/>
                <w:sz w:val="16"/>
                <w:szCs w:val="16"/>
              </w:rPr>
              <w:t xml:space="preserve">Seite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PAGE</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r w:rsidRPr="00E73211">
              <w:rPr>
                <w:rFonts w:ascii="Arial" w:hAnsi="Arial" w:cs="Arial"/>
                <w:color w:val="000000" w:themeColor="text1"/>
                <w:sz w:val="16"/>
                <w:szCs w:val="16"/>
              </w:rPr>
              <w:t xml:space="preserve"> von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NUMPAGES</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p>
          <w:bookmarkEnd w:id="0" w:displacedByCustomXml="next"/>
        </w:sdtContent>
      </w:sdt>
    </w:sdtContent>
  </w:sdt>
  <w:p w:rsidR="001A2D5D" w:rsidRDefault="001A2D5D">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2D5D" w:rsidRDefault="001A2D5D" w:rsidP="001A2D5D">
      <w:pPr>
        <w:spacing w:after="0" w:line="240" w:lineRule="auto"/>
      </w:pPr>
      <w:r>
        <w:separator/>
      </w:r>
    </w:p>
  </w:footnote>
  <w:footnote w:type="continuationSeparator" w:id="0">
    <w:p w:rsidR="001A2D5D" w:rsidRDefault="001A2D5D" w:rsidP="001A2D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01703748">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955673106">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274104732">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40116208">
    <w:multiLevelType w:val="hybridMultilevel"/>
    <w:lvl w:ilvl="0">
      <w:start w:val="1"/>
      <w:numFmt w:val="decimal"/>
      <w:lvlText w:val="%1."/>
      <w:lvlJc w:val="left"/>
      <w:pPr>
        <w:ind w:left="720" w:hanging="360"/>
      </w:pPr>
      <w:rPr/>
    </w:lvl>
    <w:lvl w:ilvl="1">
      <w:start w:val=""/>
      <w:numFmt w:val="decimal"/>
      <w:lvlText w:val="%2."/>
      <w:lvlJc w:val="left"/>
      <w:pPr>
        <w:ind w:left="1440" w:hanging="360"/>
      </w:pPr>
      <w:rPr/>
    </w:lvl>
    <w:lvl w:ilvl="2">
      <w:start w:val=""/>
      <w:numFmt w:val="decimal"/>
      <w:lvlText w:val="%3."/>
      <w:lvlJc w:val="left"/>
      <w:pPr>
        <w:ind w:left="2160" w:hanging="360"/>
      </w:pPr>
      <w:rPr/>
    </w:lvl>
    <w:lvl w:ilvl="3">
      <w:start w:val=""/>
      <w:numFmt w:val="decimal"/>
      <w:lvlText w:val="%4."/>
      <w:lvlJc w:val="left"/>
      <w:pPr>
        <w:ind w:left="2880" w:hanging="360"/>
      </w:pPr>
      <w:rPr/>
    </w:lvl>
    <w:lvl w:ilvl="4">
      <w:start w:val=""/>
      <w:numFmt w:val="decimal"/>
      <w:lvlText w:val="%5."/>
      <w:lvlJc w:val="left"/>
      <w:pPr>
        <w:ind w:left="3600" w:hanging="360"/>
      </w:pPr>
      <w:rPr/>
    </w:lvl>
    <w:lvl w:ilvl="5">
      <w:start w:val=""/>
      <w:numFmt w:val="decimal"/>
      <w:lvlText w:val="%6."/>
      <w:lvlJc w:val="left"/>
      <w:pPr>
        <w:ind w:left="4320" w:hanging="360"/>
      </w:pPr>
      <w:rPr/>
    </w:lvl>
    <w:lvl w:ilvl="6">
      <w:start w:val=""/>
      <w:numFmt w:val="decimal"/>
      <w:lvlText w:val="%7."/>
      <w:lvlJc w:val="left"/>
      <w:pPr>
        <w:ind w:left="5040" w:hanging="360"/>
      </w:pPr>
      <w:rPr/>
    </w:lvl>
    <w:lvl w:ilvl="7">
      <w:start w:val=""/>
      <w:numFmt w:val="decimal"/>
      <w:lvlText w:val="%8."/>
      <w:lvlJc w:val="left"/>
      <w:pPr>
        <w:ind w:left="5760" w:hanging="360"/>
      </w:pPr>
      <w:rPr/>
    </w:lvl>
    <w:lvl w:ilvl="8">
      <w:start w:val=""/>
      <w:numFmt w:val="decimal"/>
      <w:lvlText w:val="%9."/>
      <w:lvlJc w:val="left"/>
      <w:pPr>
        <w:ind w:left="6480" w:hanging="360"/>
      </w:pPr>
      <w:rPr/>
    </w:lvl>
  </w:abstractNum>
  <w:abstractNum w:abstractNumId="57516983">
    <w:multiLevelType w:val="hybridMultilevel"/>
    <w:lvl w:ilvl="0" w:tplc="56388588">
      <w:start w:val="1"/>
      <w:numFmt w:val="decimal"/>
      <w:lvlText w:val="%1."/>
      <w:lvlJc w:val="left"/>
      <w:pPr>
        <w:ind w:left="720" w:hanging="360"/>
      </w:pPr>
    </w:lvl>
    <w:lvl w:ilvl="1" w:tplc="56388588" w:tentative="1">
      <w:start w:val="1"/>
      <w:numFmt w:val="lowerLetter"/>
      <w:lvlText w:val="%2."/>
      <w:lvlJc w:val="left"/>
      <w:pPr>
        <w:ind w:left="1440" w:hanging="360"/>
      </w:pPr>
    </w:lvl>
    <w:lvl w:ilvl="2" w:tplc="56388588" w:tentative="1">
      <w:start w:val="1"/>
      <w:numFmt w:val="lowerRoman"/>
      <w:lvlText w:val="%3."/>
      <w:lvlJc w:val="right"/>
      <w:pPr>
        <w:ind w:left="2160" w:hanging="180"/>
      </w:pPr>
    </w:lvl>
    <w:lvl w:ilvl="3" w:tplc="56388588" w:tentative="1">
      <w:start w:val="1"/>
      <w:numFmt w:val="decimal"/>
      <w:lvlText w:val="%4."/>
      <w:lvlJc w:val="left"/>
      <w:pPr>
        <w:ind w:left="2880" w:hanging="360"/>
      </w:pPr>
    </w:lvl>
    <w:lvl w:ilvl="4" w:tplc="56388588" w:tentative="1">
      <w:start w:val="1"/>
      <w:numFmt w:val="lowerLetter"/>
      <w:lvlText w:val="%5."/>
      <w:lvlJc w:val="left"/>
      <w:pPr>
        <w:ind w:left="3600" w:hanging="360"/>
      </w:pPr>
    </w:lvl>
    <w:lvl w:ilvl="5" w:tplc="56388588" w:tentative="1">
      <w:start w:val="1"/>
      <w:numFmt w:val="lowerRoman"/>
      <w:lvlText w:val="%6."/>
      <w:lvlJc w:val="right"/>
      <w:pPr>
        <w:ind w:left="4320" w:hanging="180"/>
      </w:pPr>
    </w:lvl>
    <w:lvl w:ilvl="6" w:tplc="56388588" w:tentative="1">
      <w:start w:val="1"/>
      <w:numFmt w:val="decimal"/>
      <w:lvlText w:val="%7."/>
      <w:lvlJc w:val="left"/>
      <w:pPr>
        <w:ind w:left="5040" w:hanging="360"/>
      </w:pPr>
    </w:lvl>
    <w:lvl w:ilvl="7" w:tplc="56388588" w:tentative="1">
      <w:start w:val="1"/>
      <w:numFmt w:val="lowerLetter"/>
      <w:lvlText w:val="%8."/>
      <w:lvlJc w:val="left"/>
      <w:pPr>
        <w:ind w:left="5760" w:hanging="360"/>
      </w:pPr>
    </w:lvl>
    <w:lvl w:ilvl="8" w:tplc="56388588" w:tentative="1">
      <w:start w:val="1"/>
      <w:numFmt w:val="lowerRoman"/>
      <w:lvlText w:val="%9."/>
      <w:lvlJc w:val="right"/>
      <w:pPr>
        <w:ind w:left="6480" w:hanging="180"/>
      </w:pPr>
    </w:lvl>
  </w:abstractNum>
  <w:abstractNum w:abstractNumId="812242479">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559950912">
    <w:multiLevelType w:val="hybridMultilevel"/>
    <w:lvl w:ilvl="0">
      <w:start w:val="1"/>
      <w:numFmt w:val="decimal"/>
      <w:lvlText w:val="%1."/>
      <w:lvlJc w:val="left"/>
      <w:pPr>
        <w:ind w:left="720" w:hanging="360"/>
      </w:pPr>
      <w:rPr/>
    </w:lvl>
    <w:lvl w:ilvl="1">
      <w:start w:val=""/>
      <w:numFmt w:val="decimal"/>
      <w:lvlText w:val="%2."/>
      <w:lvlJc w:val="left"/>
      <w:pPr>
        <w:ind w:left="1440" w:hanging="360"/>
      </w:pPr>
      <w:rPr/>
    </w:lvl>
    <w:lvl w:ilvl="2">
      <w:start w:val=""/>
      <w:numFmt w:val="decimal"/>
      <w:lvlText w:val="%3."/>
      <w:lvlJc w:val="left"/>
      <w:pPr>
        <w:ind w:left="2160" w:hanging="360"/>
      </w:pPr>
      <w:rPr/>
    </w:lvl>
    <w:lvl w:ilvl="3">
      <w:start w:val=""/>
      <w:numFmt w:val="decimal"/>
      <w:lvlText w:val="%4."/>
      <w:lvlJc w:val="left"/>
      <w:pPr>
        <w:ind w:left="2880" w:hanging="360"/>
      </w:pPr>
      <w:rPr/>
    </w:lvl>
    <w:lvl w:ilvl="4">
      <w:start w:val=""/>
      <w:numFmt w:val="decimal"/>
      <w:lvlText w:val="%5."/>
      <w:lvlJc w:val="left"/>
      <w:pPr>
        <w:ind w:left="3600" w:hanging="360"/>
      </w:pPr>
      <w:rPr/>
    </w:lvl>
    <w:lvl w:ilvl="5">
      <w:start w:val=""/>
      <w:numFmt w:val="decimal"/>
      <w:lvlText w:val="%6."/>
      <w:lvlJc w:val="left"/>
      <w:pPr>
        <w:ind w:left="4320" w:hanging="360"/>
      </w:pPr>
      <w:rPr/>
    </w:lvl>
    <w:lvl w:ilvl="6">
      <w:start w:val=""/>
      <w:numFmt w:val="decimal"/>
      <w:lvlText w:val="%7."/>
      <w:lvlJc w:val="left"/>
      <w:pPr>
        <w:ind w:left="5040" w:hanging="360"/>
      </w:pPr>
      <w:rPr/>
    </w:lvl>
    <w:lvl w:ilvl="7">
      <w:start w:val=""/>
      <w:numFmt w:val="decimal"/>
      <w:lvlText w:val="%8."/>
      <w:lvlJc w:val="left"/>
      <w:pPr>
        <w:ind w:left="5760" w:hanging="360"/>
      </w:pPr>
      <w:rPr/>
    </w:lvl>
    <w:lvl w:ilvl="8">
      <w:start w:val=""/>
      <w:numFmt w:val="decimal"/>
      <w:lvlText w:val="%9."/>
      <w:lvlJc w:val="left"/>
      <w:pPr>
        <w:ind w:left="6480" w:hanging="360"/>
      </w:pPr>
      <w:rPr/>
    </w:lvl>
  </w:abstractNum>
  <w:abstractNum w:abstractNumId="57516982">
    <w:multiLevelType w:val="hybridMultilevel"/>
    <w:lvl w:ilvl="0" w:tplc="94016994">
      <w:start w:val="1"/>
      <w:numFmt w:val="decimal"/>
      <w:lvlText w:val="%1."/>
      <w:lvlJc w:val="left"/>
      <w:pPr>
        <w:ind w:left="720" w:hanging="360"/>
      </w:pPr>
    </w:lvl>
    <w:lvl w:ilvl="1" w:tplc="94016994" w:tentative="1">
      <w:start w:val="1"/>
      <w:numFmt w:val="lowerLetter"/>
      <w:lvlText w:val="%2."/>
      <w:lvlJc w:val="left"/>
      <w:pPr>
        <w:ind w:left="1440" w:hanging="360"/>
      </w:pPr>
    </w:lvl>
    <w:lvl w:ilvl="2" w:tplc="94016994" w:tentative="1">
      <w:start w:val="1"/>
      <w:numFmt w:val="lowerRoman"/>
      <w:lvlText w:val="%3."/>
      <w:lvlJc w:val="right"/>
      <w:pPr>
        <w:ind w:left="2160" w:hanging="180"/>
      </w:pPr>
    </w:lvl>
    <w:lvl w:ilvl="3" w:tplc="94016994" w:tentative="1">
      <w:start w:val="1"/>
      <w:numFmt w:val="decimal"/>
      <w:lvlText w:val="%4."/>
      <w:lvlJc w:val="left"/>
      <w:pPr>
        <w:ind w:left="2880" w:hanging="360"/>
      </w:pPr>
    </w:lvl>
    <w:lvl w:ilvl="4" w:tplc="94016994" w:tentative="1">
      <w:start w:val="1"/>
      <w:numFmt w:val="lowerLetter"/>
      <w:lvlText w:val="%5."/>
      <w:lvlJc w:val="left"/>
      <w:pPr>
        <w:ind w:left="3600" w:hanging="360"/>
      </w:pPr>
    </w:lvl>
    <w:lvl w:ilvl="5" w:tplc="94016994" w:tentative="1">
      <w:start w:val="1"/>
      <w:numFmt w:val="lowerRoman"/>
      <w:lvlText w:val="%6."/>
      <w:lvlJc w:val="right"/>
      <w:pPr>
        <w:ind w:left="4320" w:hanging="180"/>
      </w:pPr>
    </w:lvl>
    <w:lvl w:ilvl="6" w:tplc="94016994" w:tentative="1">
      <w:start w:val="1"/>
      <w:numFmt w:val="decimal"/>
      <w:lvlText w:val="%7."/>
      <w:lvlJc w:val="left"/>
      <w:pPr>
        <w:ind w:left="5040" w:hanging="360"/>
      </w:pPr>
    </w:lvl>
    <w:lvl w:ilvl="7" w:tplc="94016994" w:tentative="1">
      <w:start w:val="1"/>
      <w:numFmt w:val="lowerLetter"/>
      <w:lvlText w:val="%8."/>
      <w:lvlJc w:val="left"/>
      <w:pPr>
        <w:ind w:left="5760" w:hanging="360"/>
      </w:pPr>
    </w:lvl>
    <w:lvl w:ilvl="8" w:tplc="94016994" w:tentative="1">
      <w:start w:val="1"/>
      <w:numFmt w:val="lowerRoman"/>
      <w:lvlText w:val="%9."/>
      <w:lvlJc w:val="right"/>
      <w:pPr>
        <w:ind w:left="6480" w:hanging="180"/>
      </w:pPr>
    </w:lvl>
  </w:abstractNum>
  <w:abstractNum w:abstractNumId="57516981">
    <w:multiLevelType w:val="hybridMultilevel"/>
    <w:lvl w:ilvl="0" w:tplc="6962184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7516981">
    <w:abstractNumId w:val="57516981"/>
  </w:num>
  <w:num w:numId="57516982">
    <w:abstractNumId w:val="57516982"/>
  </w:num>
  <w:num w:numId="559950912">
    <w:abstractNumId w:val="559950912"/>
  </w:num>
  <w:num w:numId="812242479">
    <w:abstractNumId w:val="812242479"/>
  </w:num>
  <w:num w:numId="57516983">
    <w:abstractNumId w:val="57516983"/>
  </w:num>
  <w:num w:numId="40116208">
    <w:abstractNumId w:val="40116208"/>
  </w:num>
  <w:num w:numId="274104732">
    <w:abstractNumId w:val="274104732"/>
  </w:num>
  <w:num w:numId="955673106">
    <w:abstractNumId w:val="955673106"/>
  </w:num>
  <w:num w:numId="601703748">
    <w:abstractNumId w:val="60170374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val="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D5D"/>
    <w:rsid w:val="001A2D5D"/>
    <w:rsid w:val="00205CAE"/>
    <w:rsid w:val="002141BA"/>
    <w:rsid w:val="004A3273"/>
    <w:rsid w:val="00E73211"/>
  </w:rsids>
  <m:mathPr>
    <m:mathFont m:val="Cambria Math"/>
    <m:brkBin m:val="before"/>
    <m:brkBinSub m:val="--"/>
    <m:smallFrac m:val="0"/>
    <m:dispDef/>
    <m:lMargin m:val="0"/>
    <m:rMargin m:val="0"/>
    <m:defJc m:val="centerGroup"/>
    <m:wrapIndent m:val="1440"/>
    <m:intLim m:val="subSup"/>
    <m:naryLim m:val="undOvr"/>
  </m:mathPr>
  <w:themeFontLang w:val="de_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_DE" w:eastAsia="de_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942878646" Type="http://schemas.openxmlformats.org/officeDocument/2006/relationships/numbering" Target="numbering.xml"/><Relationship Id="rId346793418" Type="http://schemas.openxmlformats.org/officeDocument/2006/relationships/comments" Target="comment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Office Word</Application>
  <DocSecurity>0</DocSecurity>
  <Lines>0</Lines>
  <Paragraphs>0</Paragraphs>
  <ScaleCrop>false</ScaleCrop>
  <Company>WEKA Business Solutions GmbH</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dcterms:created xsi:type="dcterms:W3CDTF">2015-05-12T09:10:00Z</dcterms:created>
  <dcterms:modified xsi:type="dcterms:W3CDTF">2015-05-12T09:16:00Z</dcterms:modified>
</cp:coreProperties>
</file>