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99631446" w:name="document"/>
    <w:bookmarkEnd w:id="99631446"/>
    <w:p/>
    <w:p>
      <w:pPr>
        <w:widowControl w:val="on"/>
        <w:pBdr/>
        <w:spacing w:before="0" w:after="280" w:line="240" w:lineRule="auto"/>
        <w:ind w:left="0" w:right="0"/>
        <w:jc w:val="left"/>
      </w:pPr>
      <w:r>
        <w:rPr>
          <w:rFonts w:ascii="Arial" w:hAnsi="Arial" w:eastAsia="Arial" w:cs="Arial"/>
          <w:color w:val="363A40"/>
          <w:sz w:val="24"/>
          <w:szCs w:val="24"/>
        </w:rPr>
        <w:t xml:space="preserve">Dokument-ID: 1052480 | Barbara Briefer | Muster
| Schriftsatzmuster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Antrag auf Anerkennung einer ausländischen Entscheidung in
Ehesachen (§ 98 AußStrG)</w:t>
      </w:r>
    </w:p>
    <w:p>
      <w:pPr>
        <w:widowControl w:val="on"/>
        <w:pBdr/>
        <w:spacing w:before="140" w:after="240" w:line="288" w:lineRule="auto"/>
        <w:ind w:left="0" w:right="0"/>
        <w:jc w:val="right"/>
      </w:pPr>
      <w:r>
        <w:rPr>
          <w:rFonts w:ascii="Arial" w:hAnsi="Arial" w:eastAsia="Arial" w:cs="Arial"/>
          <w:color w:val="000000"/>
          <w:sz w:val="20"/>
          <w:szCs w:val="20"/>
        </w:rPr>
        <w:t xml:space="preserve">Gebühreneinzug:</w:t>
      </w:r>
      <w:r>
        <w:rPr>
          <w:rFonts w:ascii="Arial" w:hAnsi="Arial" w:eastAsia="Arial" w:cs="Arial"/>
          <w:color w:val="000000"/>
          <w:sz w:val="20"/>
          <w:szCs w:val="20"/>
        </w:rPr>
        <w:br/>
        <w:t xml:space="preserve">Konto: …</w:t>
      </w:r>
      <w:r>
        <w:rPr>
          <w:rFonts w:ascii="Arial" w:hAnsi="Arial" w:eastAsia="Arial" w:cs="Arial"/>
          <w:color w:val="000000"/>
          <w:sz w:val="20"/>
          <w:szCs w:val="20"/>
        </w:rPr>
        <w:br/>
        <w:t xml:space="preserve">Bank: …</w:t>
      </w:r>
    </w:p>
    <w:p>
      <w:pPr>
        <w:widowControl w:val="on"/>
        <w:pBdr/>
        <w:spacing w:before="140" w:after="240" w:line="288" w:lineRule="auto"/>
        <w:ind w:left="0" w:right="0"/>
        <w:jc w:val="center"/>
      </w:pPr>
      <w:r>
        <w:rPr>
          <w:rFonts w:ascii="Arial" w:hAnsi="Arial" w:eastAsia="Arial" w:cs="Arial"/>
          <w:color w:val="000000"/>
          <w:sz w:val="20"/>
          <w:szCs w:val="20"/>
        </w:rPr>
        <w:t xml:space="preserve">Rechtsanwältin Mag. Barbara
Briefer</w:t>
      </w:r>
      <w:r>
        <w:rPr>
          <w:rFonts w:ascii="Arial" w:hAnsi="Arial" w:eastAsia="Arial" w:cs="Arial"/>
          <w:color w:val="000000"/>
          <w:sz w:val="20"/>
          <w:szCs w:val="20"/>
        </w:rPr>
        <w:br/>
        <w:t xml:space="preserve">Rechte Wienzeile 31/4</w:t>
      </w:r>
      <w:r>
        <w:rPr>
          <w:rFonts w:ascii="Arial" w:hAnsi="Arial" w:eastAsia="Arial" w:cs="Arial"/>
          <w:color w:val="000000"/>
          <w:sz w:val="20"/>
          <w:szCs w:val="20"/>
        </w:rPr>
        <w:br/>
        <w:t xml:space="preserve">1040 Wien</w:t>
      </w:r>
    </w:p>
    <w:p>
      <w:pPr>
        <w:widowControl w:val="on"/>
        <w:pBdr/>
        <w:spacing w:before="140" w:after="240" w:line="288" w:lineRule="auto"/>
        <w:ind w:left="0" w:right="0"/>
        <w:jc w:val="left"/>
      </w:pPr>
      <w:r>
        <w:rPr>
          <w:rFonts w:ascii="Arial" w:hAnsi="Arial" w:eastAsia="Arial" w:cs="Arial"/>
          <w:color w:val="000000"/>
          <w:sz w:val="20"/>
          <w:szCs w:val="20"/>
        </w:rPr>
        <w:t xml:space="preserve">An das</w:t>
      </w:r>
      <w:r>
        <w:rPr>
          <w:rFonts w:ascii="Arial" w:hAnsi="Arial" w:eastAsia="Arial" w:cs="Arial"/>
          <w:color w:val="000000"/>
          <w:sz w:val="20"/>
          <w:szCs w:val="20"/>
        </w:rPr>
        <w:br/>
        <w:t xml:space="preserve">Bezirksgericht Meidling</w:t>
      </w:r>
      <w:r>
        <w:rPr>
          <w:rFonts w:ascii="Arial" w:hAnsi="Arial" w:eastAsia="Arial" w:cs="Arial"/>
          <w:color w:val="000000"/>
          <w:sz w:val="20"/>
          <w:szCs w:val="20"/>
        </w:rPr>
        <w:br/>
        <w:t xml:space="preserve">Schönbrunner Straße 222–228/3/5. OG</w:t>
      </w:r>
      <w:r>
        <w:rPr>
          <w:rFonts w:ascii="Arial" w:hAnsi="Arial" w:eastAsia="Arial" w:cs="Arial"/>
          <w:color w:val="000000"/>
          <w:sz w:val="20"/>
          <w:szCs w:val="20"/>
        </w:rPr>
        <w:br/>
        <w:t xml:space="preserve">1120 Wien</w:t>
      </w:r>
    </w:p>
    <w:p>
      <w:pPr>
        <w:widowControl w:val="on"/>
        <w:pBdr/>
        <w:spacing w:before="140" w:after="240" w:line="288" w:lineRule="auto"/>
        <w:ind w:left="0" w:right="0"/>
        <w:jc w:val="right"/>
      </w:pPr>
      <w:r>
        <w:rPr>
          <w:rFonts w:ascii="Arial" w:hAnsi="Arial" w:eastAsia="Arial" w:cs="Arial"/>
          <w:color w:val="000000"/>
          <w:sz w:val="20"/>
          <w:szCs w:val="20"/>
        </w:rPr>
        <w:t xml:space="preserve">Wien, am 15.01.2020</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Antragsteller: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Oleg Kiríllowitsch Besúchow, geb 14.03.1959</w:t>
            </w:r>
            <w:r>
              <w:rPr>
                <w:rFonts w:ascii="Arial" w:hAnsi="Arial" w:eastAsia="Arial" w:cs="Arial"/>
                <w:color w:val="000000"/>
                <w:position w:val="0"/>
                <w:sz w:val="20"/>
                <w:szCs w:val="20"/>
                <w:shd w:val="clear" w:color="auto" w:fill="FFFFFF"/>
              </w:rPr>
              <w:br/>
              <w:t xml:space="preserve">Angestellter</w:t>
            </w:r>
            <w:r>
              <w:rPr>
                <w:rFonts w:ascii="Arial" w:hAnsi="Arial" w:eastAsia="Arial" w:cs="Arial"/>
                <w:color w:val="000000"/>
                <w:position w:val="0"/>
                <w:sz w:val="20"/>
                <w:szCs w:val="20"/>
                <w:shd w:val="clear" w:color="auto" w:fill="FFFFFF"/>
              </w:rPr>
              <w:br/>
              <w:t xml:space="preserve">Mahlerweg 15</w:t>
            </w:r>
            <w:r>
              <w:rPr>
                <w:rFonts w:ascii="Arial" w:hAnsi="Arial" w:eastAsia="Arial" w:cs="Arial"/>
                <w:color w:val="000000"/>
                <w:position w:val="0"/>
                <w:sz w:val="20"/>
                <w:szCs w:val="20"/>
                <w:shd w:val="clear" w:color="auto" w:fill="FFFFFF"/>
              </w:rPr>
              <w:br/>
              <w:t xml:space="preserve">1120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Vertreten durch:</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Mag. Barbara Briefer</w:t>
            </w:r>
            <w:r>
              <w:rPr>
                <w:rFonts w:ascii="Arial" w:hAnsi="Arial" w:eastAsia="Arial" w:cs="Arial"/>
                <w:color w:val="000000"/>
                <w:position w:val="0"/>
                <w:sz w:val="20"/>
                <w:szCs w:val="20"/>
                <w:shd w:val="clear" w:color="auto" w:fill="FFFFFF"/>
              </w:rPr>
              <w:br/>
              <w:t xml:space="preserve">Rechtsanwältin</w:t>
            </w:r>
            <w:r>
              <w:rPr>
                <w:rFonts w:ascii="Arial" w:hAnsi="Arial" w:eastAsia="Arial" w:cs="Arial"/>
                <w:color w:val="000000"/>
                <w:position w:val="0"/>
                <w:sz w:val="20"/>
                <w:szCs w:val="20"/>
                <w:shd w:val="clear" w:color="auto" w:fill="FFFFFF"/>
              </w:rPr>
              <w:br/>
              <w:t xml:space="preserve">Rechte Wienzeile 31/4</w:t>
            </w:r>
            <w:r>
              <w:rPr>
                <w:rFonts w:ascii="Arial" w:hAnsi="Arial" w:eastAsia="Arial" w:cs="Arial"/>
                <w:color w:val="000000"/>
                <w:position w:val="0"/>
                <w:sz w:val="20"/>
                <w:szCs w:val="20"/>
                <w:shd w:val="clear" w:color="auto" w:fill="FFFFFF"/>
              </w:rPr>
              <w:br/>
              <w:t xml:space="preserve">1040 Wien</w:t>
            </w:r>
            <w:r>
              <w:rPr>
                <w:rFonts w:ascii="Arial" w:hAnsi="Arial" w:eastAsia="Arial" w:cs="Arial"/>
                <w:color w:val="000000"/>
                <w:position w:val="0"/>
                <w:sz w:val="20"/>
                <w:szCs w:val="20"/>
                <w:shd w:val="clear" w:color="auto" w:fill="FFFFFF"/>
              </w:rPr>
              <w:br/>
              <w:t xml:space="preserve">Prozess- und Geldvollmacht erteilt</w:t>
            </w:r>
            <w:r>
              <w:rPr>
                <w:rFonts w:ascii="Arial" w:hAnsi="Arial" w:eastAsia="Arial" w:cs="Arial"/>
                <w:color w:val="000000"/>
                <w:position w:val="0"/>
                <w:sz w:val="20"/>
                <w:szCs w:val="20"/>
                <w:shd w:val="clear" w:color="auto" w:fill="FFFFFF"/>
              </w:rPr>
              <w:br/>
              <w:t xml:space="preserve">Gem § 19 a RAO verlangt der gefertigte Anwalt die Bezahlung
sämtl Kosten zu seinen Handen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Antragsgegnerin: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Zhanna Wassíljewna Besúchowa, geb 19.07.1959</w:t>
            </w:r>
            <w:r>
              <w:rPr>
                <w:rFonts w:ascii="Arial" w:hAnsi="Arial" w:eastAsia="Arial" w:cs="Arial"/>
                <w:color w:val="000000"/>
                <w:position w:val="0"/>
                <w:sz w:val="20"/>
                <w:szCs w:val="20"/>
                <w:shd w:val="clear" w:color="auto" w:fill="FFFFFF"/>
              </w:rPr>
              <w:br/>
              <w:t xml:space="preserve">Angestellte</w:t>
            </w:r>
            <w:r>
              <w:rPr>
                <w:rFonts w:ascii="Arial" w:hAnsi="Arial" w:eastAsia="Arial" w:cs="Arial"/>
                <w:color w:val="000000"/>
                <w:position w:val="0"/>
                <w:sz w:val="20"/>
                <w:szCs w:val="20"/>
                <w:shd w:val="clear" w:color="auto" w:fill="FFFFFF"/>
              </w:rPr>
              <w:br/>
              <w:t xml:space="preserve">Beethovengasse 3</w:t>
            </w:r>
            <w:r>
              <w:rPr>
                <w:rFonts w:ascii="Arial" w:hAnsi="Arial" w:eastAsia="Arial" w:cs="Arial"/>
                <w:color w:val="000000"/>
                <w:position w:val="0"/>
                <w:sz w:val="20"/>
                <w:szCs w:val="20"/>
                <w:shd w:val="clear" w:color="auto" w:fill="FFFFFF"/>
              </w:rPr>
              <w:br/>
              <w:t xml:space="preserve">1120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Wegen: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Anerkennung (§§ 97 ff AußStrG)</w:t>
            </w:r>
          </w:p>
        </w:tc>
      </w:tr>
    </w:tbl>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I. Vollmachtsbekanntgabe</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 Antrag</w:t>
      </w:r>
    </w:p>
    <w:p>
      <w:pPr>
        <w:widowControl w:val="on"/>
        <w:pBdr/>
        <w:spacing w:before="140" w:after="240" w:line="288" w:lineRule="auto"/>
        <w:ind w:left="0" w:right="0"/>
        <w:jc w:val="right"/>
      </w:pPr>
      <w:r>
        <w:rPr>
          <w:rFonts w:ascii="Arial" w:hAnsi="Arial" w:eastAsia="Arial" w:cs="Arial"/>
          <w:color w:val="000000"/>
          <w:sz w:val="20"/>
          <w:szCs w:val="20"/>
        </w:rPr>
        <w:t xml:space="preserve">2-fach</w:t>
      </w:r>
      <w:r>
        <w:rPr>
          <w:rFonts w:ascii="Arial" w:hAnsi="Arial" w:eastAsia="Arial" w:cs="Arial"/>
          <w:color w:val="000000"/>
          <w:sz w:val="20"/>
          <w:szCs w:val="20"/>
        </w:rPr>
        <w:br/>
        <w:t xml:space="preserve">2 Beilagen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w:t>
      </w:r>
    </w:p>
    <w:p>
      <w:pPr>
        <w:widowControl w:val="on"/>
        <w:pBdr/>
        <w:spacing w:before="140" w:after="240" w:line="288" w:lineRule="auto"/>
        <w:ind w:left="0" w:right="0"/>
        <w:jc w:val="left"/>
      </w:pPr>
      <w:r>
        <w:rPr>
          <w:rFonts w:ascii="Arial" w:hAnsi="Arial" w:eastAsia="Arial" w:cs="Arial"/>
          <w:color w:val="000000"/>
          <w:sz w:val="20"/>
          <w:szCs w:val="20"/>
        </w:rPr>
        <w:t xml:space="preserve">In oben bezeichneter Rechtssache gebe ich zunächst bekannt, dass
ich Mag. Barbara Briefer, Rechtsanwältin in 1040 Wien, Rechte
Wienzeile 31/4 mit meiner rechtsfreundlichen Vertretung beauftragt
habe und ersuche ich um Kenntnisnahme sowie Zustellung sämtlicher
gerichtlicher Schriftstücke zuhanden meiner ausgewiesenen
Vertreterin.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w:t>
      </w:r>
    </w:p>
    <w:p>
      <w:pPr>
        <w:widowControl w:val="on"/>
        <w:pBdr/>
        <w:spacing w:before="140" w:after="240" w:line="288" w:lineRule="auto"/>
        <w:ind w:left="0" w:right="0"/>
        <w:jc w:val="left"/>
      </w:pPr>
      <w:r>
        <w:rPr>
          <w:rFonts w:ascii="Arial" w:hAnsi="Arial" w:eastAsia="Arial" w:cs="Arial"/>
          <w:color w:val="000000"/>
          <w:sz w:val="20"/>
          <w:szCs w:val="20"/>
        </w:rPr>
        <w:t xml:space="preserve">Die Antragsgegnerin und ich haben am 11.08.2000 vor dem
Standesamt des Stadtrates zu Kharkiv die zu Ehebuchnummer 104.322
beurkundete Ehe geschlossen.</w:t>
      </w:r>
    </w:p>
    <w:p>
      <w:pPr>
        <w:widowControl w:val="on"/>
        <w:pBdr/>
        <w:spacing w:before="140" w:after="240" w:line="288" w:lineRule="auto"/>
        <w:ind w:left="0" w:right="0"/>
        <w:jc w:val="left"/>
      </w:pPr>
      <w:r>
        <w:rPr>
          <w:rFonts w:ascii="Arial" w:hAnsi="Arial" w:eastAsia="Arial" w:cs="Arial"/>
          <w:color w:val="000000"/>
          <w:sz w:val="20"/>
          <w:szCs w:val="20"/>
        </w:rPr>
        <w:t xml:space="preserve">Hierbei handelte es sich beidseits um die erste Ehe, unserer Ehe
entstammt die gemeinsame Tochter Marja Besúchowa, geb
03.09.2011.</w:t>
      </w:r>
    </w:p>
    <w:p>
      <w:pPr>
        <w:widowControl w:val="on"/>
        <w:pBdr/>
        <w:spacing w:before="140" w:after="240" w:line="288" w:lineRule="auto"/>
        <w:ind w:left="0" w:right="0"/>
        <w:jc w:val="left"/>
      </w:pPr>
      <w:r>
        <w:rPr>
          <w:rFonts w:ascii="Arial" w:hAnsi="Arial" w:eastAsia="Arial" w:cs="Arial"/>
          <w:color w:val="000000"/>
          <w:sz w:val="20"/>
          <w:szCs w:val="20"/>
        </w:rPr>
        <w:t xml:space="preserve">Aufgrund der von mir erhobenen Scheidungsklage wurde mit
Beschluss des Gerichtes für den Bezirk Kiewskyy in der Stadt
Kharkiv vom 15.11.2019 zur dg GZ 548/59051/18-sx unsere Ehe
geschieden.</w:t>
      </w:r>
    </w:p>
    <w:p>
      <w:pPr>
        <w:widowControl w:val="on"/>
        <w:pBdr/>
        <w:spacing w:before="140" w:after="240" w:line="288" w:lineRule="auto"/>
        <w:ind w:left="0" w:right="0"/>
        <w:jc w:val="left"/>
      </w:pPr>
      <w:r>
        <w:rPr>
          <w:rFonts w:ascii="Arial" w:hAnsi="Arial" w:eastAsia="Arial" w:cs="Arial"/>
          <w:color w:val="000000"/>
          <w:sz w:val="20"/>
          <w:szCs w:val="20"/>
        </w:rPr>
        <w:t xml:space="preserve">Das verfahrenseinleitende Schriftstück wurde der Antragsgegnerin
am 06.09.2019 zu eigenen Handen zugestellt.</w:t>
      </w:r>
    </w:p>
    <w:p>
      <w:pPr>
        <w:widowControl w:val="on"/>
        <w:pBdr/>
        <w:spacing w:before="140" w:after="240" w:line="288" w:lineRule="auto"/>
        <w:ind w:left="0" w:right="0"/>
        <w:jc w:val="left"/>
      </w:pPr>
      <w:r>
        <w:rPr>
          <w:rFonts w:ascii="Arial" w:hAnsi="Arial" w:eastAsia="Arial" w:cs="Arial"/>
          <w:color w:val="000000"/>
          <w:sz w:val="20"/>
          <w:szCs w:val="20"/>
        </w:rPr>
        <w:t xml:space="preserve">Im Verfahren selbst war sie durch Herrn Rechtsanwalt Pjotr
Iwánowitsch Dólochow vertreten, welchem auch eine Abschrift des
obgenannten Beschlusses am 22.11.2019 persönlich zugestellt
wurde.</w:t>
      </w:r>
    </w:p>
    <w:p>
      <w:pPr>
        <w:widowControl w:val="on"/>
        <w:pBdr/>
        <w:spacing w:before="140" w:after="240" w:line="288" w:lineRule="auto"/>
        <w:ind w:left="0" w:right="0"/>
        <w:jc w:val="left"/>
      </w:pPr>
      <w:r>
        <w:rPr>
          <w:rFonts w:ascii="Arial" w:hAnsi="Arial" w:eastAsia="Arial" w:cs="Arial"/>
          <w:color w:val="000000"/>
          <w:sz w:val="20"/>
          <w:szCs w:val="20"/>
        </w:rPr>
        <w:t xml:space="preserve">Ein Rechtsmittel gegen den genannten Beschluss wurde von Seiten
der Antragsgegnerin nicht mehr erhoben, die Entscheidung ist daher
rechtskräftig.</w:t>
      </w:r>
    </w:p>
    <w:p>
      <w:pPr>
        <w:widowControl w:val="on"/>
        <w:pBdr/>
        <w:spacing w:before="140" w:after="240" w:line="288" w:lineRule="auto"/>
        <w:ind w:left="0" w:right="0"/>
        <w:jc w:val="left"/>
      </w:pPr>
      <w:r>
        <w:rPr>
          <w:rFonts w:ascii="Arial" w:hAnsi="Arial" w:eastAsia="Arial" w:cs="Arial"/>
          <w:color w:val="000000"/>
          <w:sz w:val="20"/>
          <w:szCs w:val="20"/>
        </w:rPr>
        <w:t xml:space="preserve">Das rechtliche Gehör der Antragsgegnerin im genannten Verfahren
wurde daher vollumfänglich gewahrt und liegt auch sonst kein Grund
für eine Verweigerung der Anerkennung vor.</w:t>
      </w:r>
    </w:p>
    <w:p>
      <w:pPr>
        <w:widowControl w:val="on"/>
        <w:pBdr/>
        <w:spacing w:before="140" w:after="240" w:line="288" w:lineRule="auto"/>
        <w:ind w:left="0" w:right="0"/>
        <w:jc w:val="left"/>
      </w:pPr>
      <w:r>
        <w:rPr>
          <w:rFonts w:ascii="Arial" w:hAnsi="Arial" w:eastAsia="Arial" w:cs="Arial"/>
          <w:color w:val="000000"/>
          <w:sz w:val="20"/>
          <w:szCs w:val="20"/>
        </w:rPr>
        <w:t xml:space="preserve">Aufgrund der beidseits gegebenen ukrainischen
Staatsangehörigkeit ergibt sich weiters bei spiegelbildlicher
Anwendung des österreichischen Zuständigkeitsrechtes (§ 97/2
Z 4 AußStrG), dass auch in dieser Hinsicht kein
Anerkennungsverweigerungsgrund vorliegt.</w:t>
      </w:r>
    </w:p>
    <w:p>
      <w:pPr>
        <w:widowControl w:val="on"/>
        <w:pBdr/>
        <w:spacing w:before="140" w:after="240" w:line="288" w:lineRule="auto"/>
        <w:ind w:left="0" w:right="0"/>
        <w:jc w:val="left"/>
      </w:pPr>
      <w:r>
        <w:rPr>
          <w:rFonts w:ascii="Arial" w:hAnsi="Arial" w:eastAsia="Arial" w:cs="Arial"/>
          <w:color w:val="000000"/>
          <w:sz w:val="20"/>
          <w:szCs w:val="20"/>
        </w:rPr>
        <w:t xml:space="preserve">Der genannte Beschluss ist sohin in Österreich voll
anerkennungsfähig und ist die Anerkennung erforderlich, um die
Aufteilung des ehelichen Vermögens hier regeln zu können.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Originalbeschluss des Gerichtes für den Bezirk Kiewskyy in der
Stadt Kharkiv vom 15.11.2019 zur dg GZ 548/59051/18-sx in
beglaubigter Übersetzung samt Rechtskraftnachweis (Beilage
./A)</w:t>
            </w:r>
            <w:r>
              <w:rPr>
                <w:rFonts w:ascii="Arial" w:hAnsi="Arial" w:eastAsia="Arial" w:cs="Arial"/>
                <w:color w:val="000000"/>
                <w:position w:val="0"/>
                <w:sz w:val="20"/>
                <w:szCs w:val="20"/>
                <w:shd w:val="clear" w:color="auto" w:fill="FFFFFF"/>
              </w:rPr>
              <w:br/>
              <w:t xml:space="preserve">Zustellnachweis vom 06.09.2019 (Beilage ./B)</w:t>
            </w:r>
            <w:r>
              <w:rPr>
                <w:rFonts w:ascii="Arial" w:hAnsi="Arial" w:eastAsia="Arial" w:cs="Arial"/>
                <w:color w:val="000000"/>
                <w:position w:val="0"/>
                <w:sz w:val="20"/>
                <w:szCs w:val="20"/>
                <w:shd w:val="clear" w:color="auto" w:fill="FFFFFF"/>
              </w:rPr>
              <w:br/>
              <w:t xml:space="preserve">PV</w:t>
            </w:r>
          </w:p>
        </w:tc>
      </w:tr>
    </w:tbl>
    <w:p>
      <w:pPr>
        <w:widowControl w:val="on"/>
        <w:pBdr/>
        <w:spacing w:before="140" w:after="240" w:line="288" w:lineRule="auto"/>
        <w:ind w:left="0" w:right="0"/>
        <w:jc w:val="left"/>
      </w:pPr>
      <w:r>
        <w:rPr>
          <w:rFonts w:ascii="Arial" w:hAnsi="Arial" w:eastAsia="Arial" w:cs="Arial"/>
          <w:color w:val="000000"/>
          <w:sz w:val="20"/>
          <w:szCs w:val="20"/>
        </w:rPr>
        <w:t xml:space="preserve">Aus den genannten Gründen stelle ich sohin den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Antrag,</w:t>
      </w:r>
    </w:p>
    <w:p>
      <w:pPr>
        <w:widowControl w:val="on"/>
        <w:pBdr/>
        <w:spacing w:before="140" w:after="240" w:line="288" w:lineRule="auto"/>
        <w:ind w:left="0" w:right="0"/>
        <w:jc w:val="left"/>
      </w:pPr>
      <w:r>
        <w:rPr>
          <w:rFonts w:ascii="Arial" w:hAnsi="Arial" w:eastAsia="Arial" w:cs="Arial"/>
          <w:color w:val="000000"/>
          <w:sz w:val="20"/>
          <w:szCs w:val="20"/>
        </w:rPr>
        <w:t xml:space="preserve">die Entscheidung des Gerichtes für den Bezirk Kiewskyy in der
Stadt Kharkiv vom 15.11.2019 zur dg GZ 548/59051/18-sx über die
Auflösung der zwischen Oleg Kiríllowitsch Besúchow und Zhanna
Wassíljewna Besúchowa am 11.08.2000 vor dem Standesamt des
Stadtrates zu Kharkiv geschlossenen und zu Ehebuchnummer 104.322
beurkundeten Ehe in Österreich anzuerkennen.</w:t>
      </w:r>
    </w:p>
    <w:p>
      <w:pPr>
        <w:widowControl w:val="on"/>
        <w:pBdr/>
        <w:spacing w:before="140" w:after="240" w:line="288" w:lineRule="auto"/>
        <w:ind w:left="0" w:right="0"/>
        <w:jc w:val="left"/>
      </w:pPr>
      <w:r>
        <w:rPr>
          <w:rFonts w:ascii="Arial" w:hAnsi="Arial" w:eastAsia="Arial" w:cs="Arial"/>
          <w:color w:val="000000"/>
          <w:sz w:val="20"/>
          <w:szCs w:val="20"/>
        </w:rPr>
        <w:t xml:space="preserve">Oleg Kiríllowitsch Besúchow</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gridCol w:w="1"/>
      </w:tblGrid>
      <w:tr>
        <w:trPr>
          <w:trHeight w:val="0" w:hRule="atLeast"/>
        </w:trPr>
        <w:tc>
          <w:tcPr>
            <w:tcW w:w="0" w:type="auto"/>
            <w:gridSpan w:val="3"/>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Kostenverzeichnis:</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Klage TP 3A</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173,50</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60 % ES</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104,10</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20 % USt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55,52</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PG</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143,00</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Summe</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EUR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b/>
                <w:bCs/>
                <w:color w:val="000000"/>
                <w:position w:val="0"/>
                <w:sz w:val="20"/>
                <w:szCs w:val="20"/>
                <w:shd w:val="clear" w:color="auto" w:fill="FFFFFF"/>
              </w:rPr>
              <w:t xml:space="preserve">476,12</w:t>
            </w:r>
          </w:p>
        </w:tc>
      </w:tr>
    </w:tbl>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p>
      <w:pPr>
        <w:widowControl w:val="on"/>
        <w:pBdr/>
        <w:spacing w:before="140" w:after="240" w:line="288" w:lineRule="auto"/>
        <w:ind w:left="0" w:right="0"/>
        <w:jc w:val="left"/>
      </w:pPr>
      <w:r>
        <w:rPr>
          <w:rFonts w:ascii="Arial" w:hAnsi="Arial" w:eastAsia="Arial" w:cs="Arial"/>
          <w:color w:val="000000"/>
          <w:sz w:val="20"/>
          <w:szCs w:val="20"/>
        </w:rPr>
        <w:t xml:space="preserve">Die inländische Gerichtsbarkeit ist gegeben, wenn eine der
Parteien die österreichische Staatsbürgerschaft besitzt oder ihren
gewöhnlichen Aufenthalt im Inland hat sowie dann, wenn eine
örtliche Zuständigkeit hiefür besteht (§ 114a Abs 4
JN).</w:t>
      </w:r>
    </w:p>
    <w:p>
      <w:pPr>
        <w:widowControl w:val="on"/>
        <w:pBdr/>
        <w:spacing w:before="140" w:after="240" w:line="288" w:lineRule="auto"/>
        <w:ind w:left="0" w:right="0"/>
        <w:jc w:val="left"/>
      </w:pPr>
      <w:r>
        <w:rPr>
          <w:rFonts w:ascii="Arial" w:hAnsi="Arial" w:eastAsia="Arial" w:cs="Arial"/>
          <w:color w:val="000000"/>
          <w:sz w:val="20"/>
          <w:szCs w:val="20"/>
        </w:rPr>
        <w:t xml:space="preserve">Zuständig ist das Bezirksgericht (§ 104a JN), in dessen
Sprengel die antragstellende Partei ihren gewöhnlichen Aufenthalt
hat. Fehlt ein solcher im Inland, so ist das Gericht zuständig, in
dessen Sprengel der gewöhnliche Aufenthalt der gegnerischen Partei
liegt, sonst das Bezirksgericht Innere Stadt Wien (§ 114a
Abs 1 JN).</w:t>
      </w:r>
    </w:p>
    <w:p>
      <w:pPr>
        <w:widowControl w:val="on"/>
        <w:pBdr/>
        <w:spacing w:before="140" w:after="240" w:line="288" w:lineRule="auto"/>
        <w:ind w:left="0" w:right="0"/>
        <w:jc w:val="left"/>
      </w:pPr>
      <w:r>
        <w:rPr>
          <w:rFonts w:ascii="Arial" w:hAnsi="Arial" w:eastAsia="Arial" w:cs="Arial"/>
          <w:color w:val="000000"/>
          <w:sz w:val="20"/>
          <w:szCs w:val="20"/>
        </w:rPr>
        <w:t xml:space="preserve">Mit dem Antrag sind jedenfalls ein Original der Ausfertigung der
ausländischen Entscheidung und der Nachweis ihrer Rechtskraft nach
dem Recht des Ursprungsstaats vorzulegen (§ 98 Abs 2
S 1).</w:t>
      </w:r>
    </w:p>
    <w:p>
      <w:pPr>
        <w:widowControl w:val="on"/>
        <w:pBdr/>
        <w:spacing w:before="140" w:after="240" w:line="288" w:lineRule="auto"/>
        <w:ind w:left="0" w:right="0"/>
        <w:jc w:val="left"/>
      </w:pPr>
      <w:r>
        <w:rPr>
          <w:rFonts w:ascii="Arial" w:hAnsi="Arial" w:eastAsia="Arial" w:cs="Arial"/>
          <w:color w:val="000000"/>
          <w:sz w:val="20"/>
          <w:szCs w:val="20"/>
        </w:rPr>
        <w:t xml:space="preserve">Für den Fall der Nichteinlassung des Antragsgegners ist zudem
der Nachweis der Zustellung des verfahrenseinleitenden
Schriftstücks zu erbringen oder eine Urkunde vorzulegen, aus der
sich ergibt, dass die säumige Partei mit der ausländischen
Entscheidung offenkundig einverstanden ist (§ 98 Abs 2
S 2).</w:t>
      </w:r>
    </w:p>
    <w:p>
      <w:pPr>
        <w:widowControl w:val="on"/>
        <w:pBdr/>
        <w:spacing w:before="140" w:after="240" w:line="288" w:lineRule="auto"/>
        <w:ind w:left="0" w:right="0"/>
        <w:jc w:val="left"/>
      </w:pPr>
      <w:r>
        <w:rPr>
          <w:rFonts w:ascii="Arial" w:hAnsi="Arial" w:eastAsia="Arial" w:cs="Arial"/>
          <w:color w:val="000000"/>
          <w:sz w:val="20"/>
          <w:szCs w:val="20"/>
        </w:rPr>
        <w:t xml:space="preserve">Die Urkunden müssen nach den allgemeinen Grundsätzen beglaubigt
übersetzt sein (Art 8 B-VG).</w:t>
      </w:r>
    </w:p>
    <w:p>
      <w:pPr>
        <w:widowControl w:val="on"/>
        <w:pBdr/>
        <w:spacing w:before="140" w:after="240" w:line="288" w:lineRule="auto"/>
        <w:ind w:left="0" w:right="0"/>
        <w:jc w:val="left"/>
      </w:pPr>
      <w:r>
        <w:rPr>
          <w:rFonts w:ascii="Arial" w:hAnsi="Arial" w:eastAsia="Arial" w:cs="Arial"/>
          <w:color w:val="000000"/>
          <w:sz w:val="20"/>
          <w:szCs w:val="20"/>
        </w:rPr>
        <w:t xml:space="preserve">Die Gerichtsgebühr beläuft sich auf EUR 143,– (TP 12
lit a Z 3 GGG).</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8384898">
    <w:multiLevelType w:val="hybridMultilevel"/>
    <w:lvl w:ilvl="0" w:tplc="16474866">
      <w:start w:val="1"/>
      <w:numFmt w:val="decimal"/>
      <w:lvlText w:val="%1."/>
      <w:lvlJc w:val="left"/>
      <w:pPr>
        <w:ind w:left="720" w:hanging="360"/>
      </w:pPr>
    </w:lvl>
    <w:lvl w:ilvl="1" w:tplc="16474866" w:tentative="1">
      <w:start w:val="1"/>
      <w:numFmt w:val="lowerLetter"/>
      <w:lvlText w:val="%2."/>
      <w:lvlJc w:val="left"/>
      <w:pPr>
        <w:ind w:left="1440" w:hanging="360"/>
      </w:pPr>
    </w:lvl>
    <w:lvl w:ilvl="2" w:tplc="16474866" w:tentative="1">
      <w:start w:val="1"/>
      <w:numFmt w:val="lowerRoman"/>
      <w:lvlText w:val="%3."/>
      <w:lvlJc w:val="right"/>
      <w:pPr>
        <w:ind w:left="2160" w:hanging="180"/>
      </w:pPr>
    </w:lvl>
    <w:lvl w:ilvl="3" w:tplc="16474866" w:tentative="1">
      <w:start w:val="1"/>
      <w:numFmt w:val="decimal"/>
      <w:lvlText w:val="%4."/>
      <w:lvlJc w:val="left"/>
      <w:pPr>
        <w:ind w:left="2880" w:hanging="360"/>
      </w:pPr>
    </w:lvl>
    <w:lvl w:ilvl="4" w:tplc="16474866" w:tentative="1">
      <w:start w:val="1"/>
      <w:numFmt w:val="lowerLetter"/>
      <w:lvlText w:val="%5."/>
      <w:lvlJc w:val="left"/>
      <w:pPr>
        <w:ind w:left="3600" w:hanging="360"/>
      </w:pPr>
    </w:lvl>
    <w:lvl w:ilvl="5" w:tplc="16474866" w:tentative="1">
      <w:start w:val="1"/>
      <w:numFmt w:val="lowerRoman"/>
      <w:lvlText w:val="%6."/>
      <w:lvlJc w:val="right"/>
      <w:pPr>
        <w:ind w:left="4320" w:hanging="180"/>
      </w:pPr>
    </w:lvl>
    <w:lvl w:ilvl="6" w:tplc="16474866" w:tentative="1">
      <w:start w:val="1"/>
      <w:numFmt w:val="decimal"/>
      <w:lvlText w:val="%7."/>
      <w:lvlJc w:val="left"/>
      <w:pPr>
        <w:ind w:left="5040" w:hanging="360"/>
      </w:pPr>
    </w:lvl>
    <w:lvl w:ilvl="7" w:tplc="16474866" w:tentative="1">
      <w:start w:val="1"/>
      <w:numFmt w:val="lowerLetter"/>
      <w:lvlText w:val="%8."/>
      <w:lvlJc w:val="left"/>
      <w:pPr>
        <w:ind w:left="5760" w:hanging="360"/>
      </w:pPr>
    </w:lvl>
    <w:lvl w:ilvl="8" w:tplc="16474866" w:tentative="1">
      <w:start w:val="1"/>
      <w:numFmt w:val="lowerRoman"/>
      <w:lvlText w:val="%9."/>
      <w:lvlJc w:val="right"/>
      <w:pPr>
        <w:ind w:left="6480" w:hanging="180"/>
      </w:pPr>
    </w:lvl>
  </w:abstractNum>
  <w:abstractNum w:abstractNumId="78384897">
    <w:multiLevelType w:val="hybridMultilevel"/>
    <w:lvl w:ilvl="0" w:tplc="5608414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8384897">
    <w:abstractNumId w:val="78384897"/>
  </w:num>
  <w:num w:numId="78384898">
    <w:abstractNumId w:val="7838489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491915954" Type="http://schemas.openxmlformats.org/officeDocument/2006/relationships/numbering" Target="numbering.xml"/><Relationship Id="rId207697592"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