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9620296" w:name="document"/>
    <w:bookmarkEnd w:id="89620296"/>
    <w:p/>
    <w:p>
      <w:pPr>
        <w:widowControl w:val="on"/>
        <w:pBdr/>
        <w:spacing w:before="0" w:after="280" w:line="240" w:lineRule="auto"/>
        <w:ind w:left="0" w:right="0"/>
        <w:jc w:val="left"/>
      </w:pPr>
      <w:r>
        <w:rPr>
          <w:rFonts w:ascii="Arial" w:hAnsi="Arial" w:eastAsia="Arial" w:cs="Arial"/>
          <w:color w:val="363A40"/>
          <w:sz w:val="24"/>
          <w:szCs w:val="24"/>
        </w:rPr>
        <w:t xml:space="preserve">Dokument-ID: 1055297 | Brigitta Hülle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Unterhaltsklage (nacheheliche Unterhaltsansprüche gem § 66
EheG)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Mit der gegenständlichen Klage wird ein nachehelicher
Unterhaltsanspruch nach Maßgabe des § 66 EheG geltend gemacht.
Inhaltlich behandelt das Muster den Unterhaltsanspruch einer
unselbstständig erwerbstätigen Unterhaltsberechtigten gegen den
ebenfalls unselbstständig erwerbstätigen
Unterhaltsverpflichteten.</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Rechtsanwältin Mag. Brigitta
Hülle</w:t>
      </w:r>
      <w:r>
        <w:rPr>
          <w:rFonts w:ascii="Arial" w:hAnsi="Arial" w:eastAsia="Arial" w:cs="Arial"/>
          <w:color w:val="000000"/>
          <w:sz w:val="20"/>
          <w:szCs w:val="20"/>
        </w:rPr>
        <w:br/>
        <w:t xml:space="preserve">Rechte Wienzeile 31/4</w:t>
      </w:r>
      <w:r>
        <w:rPr>
          <w:rFonts w:ascii="Arial" w:hAnsi="Arial" w:eastAsia="Arial" w:cs="Arial"/>
          <w:color w:val="000000"/>
          <w:sz w:val="20"/>
          <w:szCs w:val="20"/>
        </w:rPr>
        <w:br/>
        <w:t xml:space="preserve">1040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p>
    <w:p>
      <w:pPr>
        <w:widowControl w:val="on"/>
        <w:pBdr/>
        <w:spacing w:before="140" w:after="240" w:line="288" w:lineRule="auto"/>
        <w:ind w:left="0" w:right="0"/>
        <w:jc w:val="left"/>
      </w:pPr>
      <w:r>
        <w:rPr>
          <w:rFonts w:ascii="Arial" w:hAnsi="Arial" w:eastAsia="Arial" w:cs="Arial"/>
          <w:color w:val="000000"/>
          <w:sz w:val="20"/>
          <w:szCs w:val="20"/>
        </w:rPr>
        <w:t xml:space="preserve">Bezirksgericht Meidling</w:t>
      </w:r>
      <w:r>
        <w:rPr>
          <w:rFonts w:ascii="Arial" w:hAnsi="Arial" w:eastAsia="Arial" w:cs="Arial"/>
          <w:color w:val="000000"/>
          <w:sz w:val="20"/>
          <w:szCs w:val="20"/>
        </w:rPr>
        <w:br/>
        <w:t xml:space="preserve">Schönbrunner Straße 222-228/3/5.OG</w:t>
      </w:r>
      <w:r>
        <w:rPr>
          <w:rFonts w:ascii="Arial" w:hAnsi="Arial" w:eastAsia="Arial" w:cs="Arial"/>
          <w:color w:val="000000"/>
          <w:sz w:val="20"/>
          <w:szCs w:val="20"/>
        </w:rPr>
        <w:br/>
        <w:t xml:space="preserve">1120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Bianca Bauer, geb …</w:t>
            </w:r>
            <w:r>
              <w:rPr>
                <w:rFonts w:ascii="Arial" w:hAnsi="Arial" w:eastAsia="Arial" w:cs="Arial"/>
                <w:color w:val="000000"/>
                <w:position w:val="0"/>
                <w:sz w:val="20"/>
                <w:szCs w:val="20"/>
                <w:shd w:val="clear" w:color="auto" w:fill="FFFFFF"/>
              </w:rPr>
              <w:br/>
              <w:t xml:space="preserve">Wolkenweg 4</w:t>
            </w:r>
            <w:r>
              <w:rPr>
                <w:rFonts w:ascii="Arial" w:hAnsi="Arial" w:eastAsia="Arial" w:cs="Arial"/>
                <w:color w:val="000000"/>
                <w:position w:val="0"/>
                <w:sz w:val="20"/>
                <w:szCs w:val="20"/>
                <w:shd w:val="clear" w:color="auto" w:fill="FFFFFF"/>
              </w:rPr>
              <w:br/>
              <w:t xml:space="preserve">1230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Brigitta Hülle, Rechtsanwältin</w:t>
            </w:r>
            <w:r>
              <w:rPr>
                <w:rFonts w:ascii="Arial" w:hAnsi="Arial" w:eastAsia="Arial" w:cs="Arial"/>
                <w:color w:val="000000"/>
                <w:position w:val="0"/>
                <w:sz w:val="20"/>
                <w:szCs w:val="20"/>
                <w:shd w:val="clear" w:color="auto" w:fill="FFFFFF"/>
              </w:rPr>
              <w:br/>
              <w:t xml:space="preserve">Rechte Wienzeile 31/4</w:t>
            </w:r>
            <w:r>
              <w:rPr>
                <w:rFonts w:ascii="Arial" w:hAnsi="Arial" w:eastAsia="Arial" w:cs="Arial"/>
                <w:color w:val="000000"/>
                <w:position w:val="0"/>
                <w:sz w:val="20"/>
                <w:szCs w:val="20"/>
                <w:shd w:val="clear" w:color="auto" w:fill="FFFFFF"/>
              </w:rPr>
              <w:br/>
              <w:t xml:space="preserve">1040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Prozess- und Geldvollmacht erteilt</w:t>
            </w:r>
            <w:r>
              <w:rPr>
                <w:rFonts w:ascii="Arial" w:hAnsi="Arial" w:eastAsia="Arial" w:cs="Arial"/>
                <w:color w:val="000000"/>
                <w:position w:val="0"/>
                <w:sz w:val="20"/>
                <w:szCs w:val="20"/>
                <w:shd w:val="clear" w:color="auto" w:fill="FFFFFF"/>
              </w:rPr>
              <w:br/>
              <w:t xml:space="preserve">Gem § 19 a RAO verlangt der gefertigte Anwalt 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Bernhard Bauer, geb …, Prokurist</w:t>
            </w:r>
            <w:r>
              <w:rPr>
                <w:rFonts w:ascii="Arial" w:hAnsi="Arial" w:eastAsia="Arial" w:cs="Arial"/>
                <w:color w:val="000000"/>
                <w:position w:val="0"/>
                <w:sz w:val="20"/>
                <w:szCs w:val="20"/>
                <w:shd w:val="clear" w:color="auto" w:fill="FFFFFF"/>
              </w:rPr>
              <w:br/>
              <w:t xml:space="preserve">Zukunftsallee 8/15</w:t>
            </w:r>
            <w:r>
              <w:rPr>
                <w:rFonts w:ascii="Arial" w:hAnsi="Arial" w:eastAsia="Arial" w:cs="Arial"/>
                <w:color w:val="000000"/>
                <w:position w:val="0"/>
                <w:sz w:val="20"/>
                <w:szCs w:val="20"/>
                <w:shd w:val="clear" w:color="auto" w:fill="FFFFFF"/>
              </w:rPr>
              <w:br/>
              <w:t xml:space="preserve">1120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Unterhalt (RATG: EUR 20.076,–</w:t>
            </w:r>
            <w:r>
              <w:rPr>
                <w:rFonts w:ascii="Arial" w:hAnsi="Arial" w:eastAsia="Arial" w:cs="Arial"/>
                <w:color w:val="000000"/>
                <w:position w:val="0"/>
                <w:sz w:val="20"/>
                <w:szCs w:val="20"/>
                <w:shd w:val="clear" w:color="auto" w:fill="FFFFFF"/>
              </w:rPr>
              <w:br/>
              <w:t xml:space="preserve">GGG: EUR 21.749,–)</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Vollmachtsbekanntgabe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3 Beilagen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 Vollmachtsbekanntgabe</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Rechtssache gebe ich zunächst bekannt,
dass ich Mag. Brigitta Hülle, Rechtsanwältin in 1040 Wien, Rechte
Wienzeile 31/4, AVR-Code R…, mit meiner rechtsfreundlichen
Vertretung beauftragt habe und ersuche ich um Kenntnisnahme sowie
Zustellung sämtlicher gerichtlicher Schriftstücke zuhanden meiner
ausgewiesenen Vertreterin.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 Klage</w:t>
      </w:r>
    </w:p>
    <w:p>
      <w:pPr>
        <w:widowControl w:val="on"/>
        <w:pBdr/>
        <w:spacing w:before="140" w:after="240" w:line="288" w:lineRule="auto"/>
        <w:ind w:left="0" w:right="0"/>
        <w:jc w:val="left"/>
      </w:pPr>
      <w:r>
        <w:rPr>
          <w:rFonts w:ascii="Arial" w:hAnsi="Arial" w:eastAsia="Arial" w:cs="Arial"/>
          <w:color w:val="000000"/>
          <w:sz w:val="20"/>
          <w:szCs w:val="20"/>
        </w:rPr>
        <w:t xml:space="preserve">1. Meine Ehe mit dem Beklagten wurde mit Urteil des
Bezirksgerichtes Liesing vom … zur GZ … aus dem überwiegenden
Verschulden des Beklagten geschieden.</w:t>
      </w:r>
    </w:p>
    <w:p>
      <w:pPr>
        <w:widowControl w:val="on"/>
        <w:pBdr/>
        <w:spacing w:before="140" w:after="240" w:line="288" w:lineRule="auto"/>
        <w:ind w:left="0" w:right="0"/>
        <w:jc w:val="left"/>
      </w:pPr>
      <w:r>
        <w:rPr>
          <w:rFonts w:ascii="Arial" w:hAnsi="Arial" w:eastAsia="Arial" w:cs="Arial"/>
          <w:color w:val="000000"/>
          <w:sz w:val="20"/>
          <w:szCs w:val="20"/>
        </w:rPr>
        <w:t xml:space="preserve">Nachdem die Entscheidung am … in Rechtskraft erwachsen ist, ist
nunmehr mein Unterhaltsanspruch einer Regelung zuzuführen.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Akt 8 C 1/1… des BG Liesing, dessen Beischaffung ich
beantrage</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2. Ich bin seit dem Jahr … als Angestellte in einem
Handelsunternehmen tätig und habe diese Tätigkeit nach der Geburt
unserer Tochter Anna-Sophia, geb …, zunächst für 1 Jahr Karenz
unterbrochen. Danach habe ich meine Tätigkeit im Ausmaß von 20
Wochenstunden wieder aufgenommen und habe diese Tätigkeit infolge
einer weiteren Karenz mit unserer zweiten Tochter Pia-Maria, geb …,
für die Dauer von 1,5 Jahren unterbrochen.</w:t>
      </w:r>
    </w:p>
    <w:p>
      <w:pPr>
        <w:widowControl w:val="on"/>
        <w:pBdr/>
        <w:spacing w:before="140" w:after="240" w:line="288" w:lineRule="auto"/>
        <w:ind w:left="0" w:right="0"/>
        <w:jc w:val="left"/>
      </w:pPr>
      <w:r>
        <w:rPr>
          <w:rFonts w:ascii="Arial" w:hAnsi="Arial" w:eastAsia="Arial" w:cs="Arial"/>
          <w:color w:val="000000"/>
          <w:sz w:val="20"/>
          <w:szCs w:val="20"/>
        </w:rPr>
        <w:t xml:space="preserve">Mein durchschnittliches monatliches Nettoeinkommen aus dieser
Tätigkeit beläuft sich auf rd EUR 1.460,–; darüber hinaus
bringe ich kein weiteres Einkommen ins Verdienen.</w:t>
      </w:r>
    </w:p>
    <w:p>
      <w:pPr>
        <w:widowControl w:val="on"/>
        <w:pBdr/>
        <w:spacing w:before="140" w:after="240" w:line="288" w:lineRule="auto"/>
        <w:ind w:left="0" w:right="0"/>
        <w:jc w:val="left"/>
      </w:pPr>
      <w:r>
        <w:rPr>
          <w:rFonts w:ascii="Arial" w:hAnsi="Arial" w:eastAsia="Arial" w:cs="Arial"/>
          <w:color w:val="000000"/>
          <w:sz w:val="20"/>
          <w:szCs w:val="20"/>
        </w:rPr>
        <w:t xml:space="preserve">Eine Aufstockung meiner Berufstätigkeit ist im Hinblick auf das
Alter unserer Töchter, aber insbesondere auch aufgrund des
Umstandes, dass mein Dienstgeber eine Aufstockung meiner
Arbeitszeit nicht umsetzen kann, nicht möglich.</w:t>
      </w:r>
    </w:p>
    <w:p>
      <w:pPr>
        <w:widowControl w:val="on"/>
        <w:pBdr/>
        <w:spacing w:before="140" w:after="240" w:line="288" w:lineRule="auto"/>
        <w:ind w:left="0" w:right="0"/>
        <w:jc w:val="left"/>
      </w:pPr>
      <w:r>
        <w:rPr>
          <w:rFonts w:ascii="Arial" w:hAnsi="Arial" w:eastAsia="Arial" w:cs="Arial"/>
          <w:color w:val="000000"/>
          <w:sz w:val="20"/>
          <w:szCs w:val="20"/>
        </w:rPr>
        <w:t xml:space="preserve">Der Beklagte ist als Prokurist in einer Versicherung
erwerbstätig und bringt dort ein Einkommen von monatlich rd
EUR 8.330,– im Durchschnitt ins Verdienen.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Mein Jahreslohnzettel 20…, Beilage ./A</w:t>
            </w:r>
            <w:r>
              <w:rPr>
                <w:rFonts w:ascii="Arial" w:hAnsi="Arial" w:eastAsia="Arial" w:cs="Arial"/>
                <w:color w:val="000000"/>
                <w:position w:val="0"/>
                <w:sz w:val="20"/>
                <w:szCs w:val="20"/>
                <w:shd w:val="clear" w:color="auto" w:fill="FFFFFF"/>
              </w:rPr>
              <w:br/>
              <w:t xml:space="preserve">Jahreslohnzettel des Beklagten; Beilage ./B</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3. Nachdem meine Ehe mit dem Beklagten aus dessen überwiegendem
Verschulden geschieden wurde, ist der Beklagte mir gegenüber zu
Unterhalt nach Maßgabe des § 66 EheG verpflichtet.</w:t>
      </w:r>
    </w:p>
    <w:p>
      <w:pPr>
        <w:widowControl w:val="on"/>
        <w:pBdr/>
        <w:spacing w:before="140" w:after="240" w:line="288" w:lineRule="auto"/>
        <w:ind w:left="0" w:right="0"/>
        <w:jc w:val="left"/>
      </w:pPr>
      <w:r>
        <w:rPr>
          <w:rFonts w:ascii="Arial" w:hAnsi="Arial" w:eastAsia="Arial" w:cs="Arial"/>
          <w:color w:val="000000"/>
          <w:sz w:val="20"/>
          <w:szCs w:val="20"/>
        </w:rPr>
        <w:t xml:space="preserve">Unter Berücksichtigung meines eigenen Einkommens von
EUR 1.460,– durchschnittlich monatlich netto, zweier weiterer
Sorgepflichten für unsere gemeinsamen Töchter und des Einkommens
des Beklagten von zumindest EUR 8.330,– beträgt mein
Unterhaltsanspruch 32 % des Familiennettoeinkommens abzüglich
meines eigenen Einkommens, sohin EUR 1.673,– monatlich.</w:t>
      </w:r>
    </w:p>
    <w:p>
      <w:pPr>
        <w:widowControl w:val="on"/>
        <w:pBdr/>
        <w:spacing w:before="140" w:after="240" w:line="288" w:lineRule="auto"/>
        <w:ind w:left="0" w:right="0"/>
        <w:jc w:val="left"/>
      </w:pPr>
      <w:r>
        <w:rPr>
          <w:rFonts w:ascii="Arial" w:hAnsi="Arial" w:eastAsia="Arial" w:cs="Arial"/>
          <w:color w:val="000000"/>
          <w:sz w:val="20"/>
          <w:szCs w:val="20"/>
        </w:rPr>
        <w:t xml:space="preserve">Der Beklagte hat unmittelbar nach unserer Ehescheidung seine
Unterhaltszahlungen an mich eingestellt und hat, trotzdem ich ihn
zur Aufnahme seiner Unterhaltsverpflichtung betragsmäßig bestimmt
aufgefordert habe, keinerlei Unterhaltszahlungen mehr für mich
geleistet, demnach hat er seine Unterhaltspflicht mir gegenüber
verletzt. Auch bin ich zur Wahrung meiner Ansprüche auf
Hinterbliebenenpension auf die Schaffung eines entsprechenden
Unterhaltstitels angewiesen.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Aufforderungsschreiben an die beklagte Partei vom …, Beilage
./C;</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Ich beantrage daher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1922595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Bernhard Bauer, geb …, ist schuldig, der
klagenden Partei, Bianca Bauer, für Mai 20… einen Unterhaltsbetrag
von EUR 1.673,– und beginnend mit 01.06.20… einen monatlichen
Unterhalt von EUR 1.673,– zu bezahlen; die bis zur Rechtskraft
fällig gewordenen Beträge binnen 14 Tagen, die hinkünftig fällig
werdenden Beträge zum Ersten eines jeden Monats im Vorhinein, dies
alles bei sonstiger Exekution.</w:t>
      </w:r>
    </w:p>
    <w:p>
      <w:pPr>
        <w:numPr>
          <w:ilvl w:val="0"/>
          <w:numId w:val="1922595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Bernhard Bauer, geb …, ist weiters
schuldig, der klagenden Partei, Bianca Bauer, die Kosten dieses
Rechtsstreits binnen 14 Tagen bei sonstiger Exekution zu Handen
ihrer ausgewiesenen Rechtsvertreterin gem § 19a RAO zu
ersetzen.</w:t>
      </w:r>
    </w:p>
    <w:p>
      <w:pPr>
        <w:widowControl w:val="on"/>
        <w:pBdr/>
        <w:spacing w:before="140" w:after="240" w:line="288" w:lineRule="auto"/>
        <w:ind w:left="0" w:right="0"/>
        <w:jc w:val="left"/>
      </w:pPr>
      <w:r>
        <w:rPr>
          <w:rFonts w:ascii="Arial" w:hAnsi="Arial" w:eastAsia="Arial" w:cs="Arial"/>
          <w:color w:val="000000"/>
          <w:sz w:val="20"/>
          <w:szCs w:val="20"/>
        </w:rPr>
        <w:t xml:space="preserve">Bianca Bauer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Kostenverzeichnis (BMG EUR 20.076):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 TP 3A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493,20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50 % ES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246,60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ERV-Kosten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148,78</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Pauschalgebühr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743,–</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1.635,68</w:t>
            </w:r>
          </w:p>
        </w:tc>
      </w:tr>
    </w:tbl>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Die sachliche Zuständigkeit richtet sich nach § 49 Abs 2
Z 2 JN. Demnach gehören Streitigkeiten über den aus dem Gesetz
gebührenden Unterhalt, mit Ausnahme der Angelegenheiten des
gesetzlichen Unterhaltes zwischen in gerader Linie verwandten
Personen ohne Rücksicht auf den Wert des Streitgegenstandes vor die
Bezirksgerichte.</w:t>
      </w:r>
    </w:p>
    <w:p>
      <w:pPr>
        <w:widowControl w:val="on"/>
        <w:pBdr/>
        <w:spacing w:before="140" w:after="240" w:line="288" w:lineRule="auto"/>
        <w:ind w:left="0" w:right="0"/>
        <w:jc w:val="left"/>
      </w:pPr>
      <w:r>
        <w:rPr>
          <w:rFonts w:ascii="Arial" w:hAnsi="Arial" w:eastAsia="Arial" w:cs="Arial"/>
          <w:color w:val="000000"/>
          <w:sz w:val="20"/>
          <w:szCs w:val="20"/>
        </w:rPr>
        <w:t xml:space="preserve">Die örtliche Zuständigkeit richtet sich grundsätzlich nach dem
allgemeinen Gerichtsstand, es sei denn, eine Streitigkeit über die
Scheidung, die Aufhebung, die Nichtigerklärung oder die
Feststellung des Bestehens oder Nichtbestehens einer Ehe ist
anhängig oder wird gleichzeitig anhängig gemacht. Diesfalls ordnet
§ 76a JN an, dass ua auch für Streitigkeiten über den
gesetzlichen Unterhalt das Gericht, bei dem eine im § 76
Abs 1 JN genannte Streitigkeit anhängig ist oder gleichzeitig
anhängig gemacht wird, ausschließlich zuständig ist. Dies gilt aber
dann nicht, wenn die Verhandlung über die Scheidung, die Aufhebung,
die Auflösung, die Nichtigerklärung oder das Bestehen oder
Nichtbestehen der Ehe in 1. Instanz bereits geschlossen ist.</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Eingangs der Klage sollten die Umstände dargelegt werden, die für
die Beurteilung der Rechtsgrundlage, aufgrund welcher Unterhalt
geltend gemacht wird, notwendig sind.</w:t>
      </w:r>
    </w:p>
    <w:p>
      <w:pPr>
        <w:widowControl w:val="on"/>
        <w:pBdr/>
        <w:spacing w:before="140" w:after="240" w:line="288" w:lineRule="auto"/>
        <w:ind w:left="0" w:right="0"/>
        <w:jc w:val="left"/>
      </w:pPr>
      <w:r>
        <w:rPr>
          <w:rFonts w:ascii="Arial" w:hAnsi="Arial" w:eastAsia="Arial" w:cs="Arial"/>
          <w:color w:val="000000"/>
          <w:sz w:val="20"/>
          <w:szCs w:val="20"/>
        </w:rPr>
        <w:t xml:space="preserve">Die Unterhaltspflicht bei Scheidung wegen Verschulden ist in den
§§ 66 bis 68a Ehe geregelt. Im Musterbeispiel ist die beklagte
Partei überwiegend schuldig geschieden worden, sodass sich ihre
Unterhaltspflicht nach § 66 EheG richtet. Demnach hat der
allein oder überwiegend schuldige Ehegatte dem anderen, soweit
dessen Einkünfte aus Vermögen und die Erträgnisse einer
Erwerbstätigkeit, die von ihm den Umständen nach erwartet werden
kann, nicht ausreichen, den nach den Lebensverhältnissen der
Ehegatten angemessenen Unterhalt zu gewähren.</w:t>
      </w:r>
    </w:p>
    <w:p>
      <w:pPr>
        <w:widowControl w:val="on"/>
        <w:pBdr/>
        <w:spacing w:before="140" w:after="240" w:line="288" w:lineRule="auto"/>
        <w:ind w:left="0" w:right="0"/>
        <w:jc w:val="left"/>
      </w:pPr>
      <w:r>
        <w:rPr>
          <w:rFonts w:ascii="Arial" w:hAnsi="Arial" w:eastAsia="Arial" w:cs="Arial"/>
          <w:color w:val="000000"/>
          <w:sz w:val="20"/>
          <w:szCs w:val="20"/>
        </w:rPr>
        <w:t xml:space="preserve">Der Unterhaltsanspruch nach § 66 EheG knüpft an den
Verschuldensausspruch im Scheidungsurteil an. An diesen Ausspruch
ist das Gericht im Unterhaltsverfahren gebunden; eine Nachprüfung
der Verschuldensfrage ist ihm verwehrt (</w:t>
      </w:r>
      <w:r>
        <w:rPr>
          <w:rFonts w:ascii="Arial" w:hAnsi="Arial" w:eastAsia="Arial" w:cs="Arial"/>
          <w:i/>
          <w:iCs/>
          <w:color w:val="000000"/>
          <w:sz w:val="20"/>
          <w:szCs w:val="20"/>
        </w:rPr>
        <w:t xml:space="preserve">Hopf/Kathrein</w:t>
      </w:r>
      <w:r>
        <w:rPr>
          <w:rFonts w:ascii="Arial" w:hAnsi="Arial" w:eastAsia="Arial" w:cs="Arial"/>
          <w:color w:val="000000"/>
          <w:sz w:val="20"/>
          <w:szCs w:val="20"/>
        </w:rPr>
        <w:t xml:space="preserve">,
Eherecht</w:t>
      </w:r>
      <w:r>
        <w:rPr>
          <w:rFonts w:ascii="Arial" w:hAnsi="Arial" w:eastAsia="Arial" w:cs="Arial"/>
          <w:color w:val="000000"/>
          <w:position w:val="3"/>
          <w:sz w:val="18"/>
          <w:szCs w:val="18"/>
          <w:vertAlign w:val="superscript"/>
        </w:rPr>
        <w:t xml:space="preserve">3</w:t>
      </w:r>
      <w:r>
        <w:rPr>
          <w:rFonts w:ascii="Arial" w:hAnsi="Arial" w:eastAsia="Arial" w:cs="Arial"/>
          <w:color w:val="000000"/>
          <w:sz w:val="20"/>
          <w:szCs w:val="20"/>
        </w:rPr>
        <w:t xml:space="preserve">, § 66 EheG, Rz 3 mwN).</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Maßgebend für die Beurteilung, ob eine Erwerbstätigkeit zumutbar
ist, sind jedenfalls Alter, Gesundheitszustand, Berufsausbildung,
bisherige, auch länger zurückliegende Berufsausübung, Pflicht zur
Erziehung eines Kindes, Vermittlungsmöglichkeit am Arbeitsmarkt uä
(vgl RIS-Justiz RS0057391). Hierbei kommt es aber nicht auf die
abstrakte Verweisbarkeit auf eine auf dem Arbeitsmarkt bestehende
Beschäftigungsmöglichkeit, sondern auf die für den
Unterhaltsberechtigten konkret gegebenen Arbeitsmöglichkeiten an.
Im Allgemeinen wird dem Unterhaltsberechtigten die Fortsetzung
einer Erwerbstätigkeit, die er schon bisher ausgeübt hat, zumutbar
sein (</w:t>
      </w:r>
      <w:r>
        <w:rPr>
          <w:rFonts w:ascii="Arial" w:hAnsi="Arial" w:eastAsia="Arial" w:cs="Arial"/>
          <w:i/>
          <w:iCs/>
          <w:color w:val="000000"/>
          <w:sz w:val="20"/>
          <w:szCs w:val="20"/>
        </w:rPr>
        <w:t xml:space="preserve">Hopf/Kathrein</w:t>
      </w:r>
      <w:r>
        <w:rPr>
          <w:rFonts w:ascii="Arial" w:hAnsi="Arial" w:eastAsia="Arial" w:cs="Arial"/>
          <w:color w:val="000000"/>
          <w:sz w:val="20"/>
          <w:szCs w:val="20"/>
        </w:rPr>
        <w:t xml:space="preserve">, Ehegesetz</w:t>
      </w:r>
      <w:r>
        <w:rPr>
          <w:rFonts w:ascii="Arial" w:hAnsi="Arial" w:eastAsia="Arial" w:cs="Arial"/>
          <w:color w:val="000000"/>
          <w:position w:val="3"/>
          <w:sz w:val="18"/>
          <w:szCs w:val="18"/>
          <w:vertAlign w:val="superscript"/>
        </w:rPr>
        <w:t xml:space="preserve">3</w:t>
      </w:r>
      <w:r>
        <w:rPr>
          <w:rFonts w:ascii="Arial" w:hAnsi="Arial" w:eastAsia="Arial" w:cs="Arial"/>
          <w:color w:val="000000"/>
          <w:sz w:val="20"/>
          <w:szCs w:val="20"/>
        </w:rPr>
        <w:t xml:space="preserve">, § 66
EheG, Rz 9f)</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Die Bemessung der Unterhaltspflicht des allein oder überwiegend an
der Scheidung schuldigen Ehegatten erfolgt nach denselben
Grundsätzen, wie sie für die Unterhaltspflicht bei aufrechter Ehe
gelten (</w:t>
      </w:r>
      <w:r>
        <w:rPr>
          <w:rFonts w:ascii="Arial" w:hAnsi="Arial" w:eastAsia="Arial" w:cs="Arial"/>
          <w:i/>
          <w:iCs/>
          <w:color w:val="000000"/>
          <w:sz w:val="20"/>
          <w:szCs w:val="20"/>
        </w:rPr>
        <w:t xml:space="preserve">Hopf/Kathrein</w:t>
      </w:r>
      <w:r>
        <w:rPr>
          <w:rFonts w:ascii="Arial" w:hAnsi="Arial" w:eastAsia="Arial" w:cs="Arial"/>
          <w:color w:val="000000"/>
          <w:sz w:val="20"/>
          <w:szCs w:val="20"/>
        </w:rPr>
        <w:t xml:space="preserve">, Ehegesetz</w:t>
      </w:r>
      <w:r>
        <w:rPr>
          <w:rFonts w:ascii="Arial" w:hAnsi="Arial" w:eastAsia="Arial" w:cs="Arial"/>
          <w:color w:val="000000"/>
          <w:position w:val="3"/>
          <w:sz w:val="18"/>
          <w:szCs w:val="18"/>
          <w:vertAlign w:val="superscript"/>
        </w:rPr>
        <w:t xml:space="preserve">3</w:t>
      </w:r>
      <w:r>
        <w:rPr>
          <w:rFonts w:ascii="Arial" w:hAnsi="Arial" w:eastAsia="Arial" w:cs="Arial"/>
          <w:color w:val="000000"/>
          <w:sz w:val="20"/>
          <w:szCs w:val="20"/>
        </w:rPr>
        <w:t xml:space="preserve">, § 66
EheG Rz 13 unter Hinweis auf </w:t>
      </w:r>
      <w:r>
        <w:rPr>
          <w:rFonts w:ascii="Arial" w:hAnsi="Arial" w:eastAsia="Arial" w:cs="Arial"/>
          <w:i/>
          <w:iCs/>
          <w:color w:val="000000"/>
          <w:sz w:val="20"/>
          <w:szCs w:val="20"/>
        </w:rPr>
        <w:t xml:space="preserve">Stabentheiner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Rummel</w:t>
      </w:r>
      <w:r>
        <w:rPr>
          <w:rFonts w:ascii="Arial" w:hAnsi="Arial" w:eastAsia="Arial" w:cs="Arial"/>
          <w:color w:val="000000"/>
          <w:position w:val="3"/>
          <w:sz w:val="18"/>
          <w:szCs w:val="18"/>
          <w:vertAlign w:val="superscript"/>
        </w:rPr>
        <w:t xml:space="preserve">3</w:t>
      </w:r>
      <w:r>
        <w:rPr>
          <w:rFonts w:ascii="Arial" w:hAnsi="Arial" w:eastAsia="Arial" w:cs="Arial"/>
          <w:color w:val="000000"/>
          <w:sz w:val="20"/>
          <w:szCs w:val="20"/>
        </w:rPr>
        <w:t xml:space="preserve">, § 66 EheG Rz 4).</w:t>
      </w:r>
    </w:p>
    <w:p>
      <w:pPr>
        <w:widowControl w:val="on"/>
        <w:pBdr/>
        <w:spacing w:before="140" w:after="240" w:line="288" w:lineRule="auto"/>
        <w:ind w:left="0" w:right="0"/>
        <w:jc w:val="left"/>
      </w:pPr>
      <w:r>
        <w:rPr>
          <w:rFonts w:ascii="Arial" w:hAnsi="Arial" w:eastAsia="Arial" w:cs="Arial"/>
          <w:color w:val="000000"/>
          <w:sz w:val="20"/>
          <w:szCs w:val="20"/>
        </w:rPr>
        <w:t xml:space="preserve">Maßgebend für die Beurteilung der Leistungsfähigkeit des
Unterhaltspflichtigen ist in erster Linie seine wirtschaftliche
Lage, wobei sein unterhaltsrechtlich relevantes Einkommen die Summe
aller ihm tatsächlich zufließenden Mittel ist, also sämtliche
tatsächlich erzielten Einkünfte welche Art immer, wenn der
Unterhaltspflichtige über sie frei verfügen kann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Unterhaltsrecht</w:t>
      </w:r>
      <w:r>
        <w:rPr>
          <w:rFonts w:ascii="Arial" w:hAnsi="Arial" w:eastAsia="Arial" w:cs="Arial"/>
          <w:color w:val="000000"/>
          <w:position w:val="3"/>
          <w:sz w:val="18"/>
          <w:szCs w:val="18"/>
          <w:vertAlign w:val="superscript"/>
        </w:rPr>
        <w:t xml:space="preserve">3</w:t>
      </w:r>
      <w:r>
        <w:rPr>
          <w:rFonts w:ascii="Arial" w:hAnsi="Arial" w:eastAsia="Arial" w:cs="Arial"/>
          <w:color w:val="000000"/>
          <w:sz w:val="20"/>
          <w:szCs w:val="20"/>
        </w:rPr>
        <w:t xml:space="preserve">, Rz 185
mwN).</w:t>
      </w:r>
    </w:p>
    <w:p>
      <w:pPr>
        <w:widowControl w:val="on"/>
        <w:pBdr/>
        <w:spacing w:before="140" w:after="240" w:line="288" w:lineRule="auto"/>
        <w:ind w:left="0" w:right="0"/>
        <w:jc w:val="left"/>
      </w:pPr>
      <w:r>
        <w:rPr>
          <w:rFonts w:ascii="Arial" w:hAnsi="Arial" w:eastAsia="Arial" w:cs="Arial"/>
          <w:color w:val="000000"/>
          <w:sz w:val="20"/>
          <w:szCs w:val="20"/>
        </w:rPr>
        <w:t xml:space="preserve">Im Musterbeispiel bezieht der Unterhaltsverpflichtete Einkommen
aus unselbstständiger Tätigkeit. In die
Unterhaltsbemessungsgrundlage einzubeziehen ist bei ihm sohin das
Arbeitsentgelt, also das, was der Arbeitgeber dem Arbeitnehmer für
das Zurverfügungstellen der Arbeitskraft leistet, soweit damit
nicht tatsächliche Aufwände abgegolten werden. Es wird an den
arbeitsrechtlichen Entgeltbegriff angeknüpft. Maßgeblich ist das
Nettoeinkommen, dh das Bruttogehalt einschließlich
Feiertagsentgelt, Entgeltfortzahlung im Krankheitsfall und
Sonderzahlungen, vermindert um Lohnsteuer und
Sozialversicherungsbeiträge. Zulagen und Zuschläge mit
Entgeltcharakter sind zum Gehalt zu addieren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aaO, Rz 227 mwN).</w:t>
      </w:r>
    </w:p>
    <w:p>
      <w:pPr>
        <w:widowControl w:val="on"/>
        <w:pBdr/>
        <w:spacing w:before="140" w:after="240" w:line="288" w:lineRule="auto"/>
        <w:ind w:left="0" w:right="0"/>
        <w:jc w:val="left"/>
      </w:pPr>
      <w:r>
        <w:rPr>
          <w:rFonts w:ascii="Arial" w:hAnsi="Arial" w:eastAsia="Arial" w:cs="Arial"/>
          <w:color w:val="000000"/>
          <w:sz w:val="20"/>
          <w:szCs w:val="20"/>
        </w:rPr>
        <w:t xml:space="preserve">Als Beobachtungszeitraum wird bei unselbstständig Erwerbstätigen
ein der Entscheidung unmittelbar vorangehender Bezugszeitraum von
einem Jahr herangezogen, das Durchschnittseinkommen eines
angestellten Unterhaltspflichtigen während eines Jahres
rechtfertigt nämlich die Annahme, dass auch sein künftiges
Einkommen in dieser Höhe liegen werde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aaO,
Rz 229 mwN).</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Der von der überwiegenden Rechtsprechung der Gerichte zweiter
Instanz bei der Unterhaltsbemessung üblicherweise zugrunde gelegte
40 Prozent-Anteil des schlechter verdienenden Ehegatten am
Familiennettoeinkommen ist als grundsätzliche Orientierungshilfe
bei der Unterhaltsbemessung zu billigen, ebenso der Drittelanteil
des einkommenslosen Ehegatten am Nettoeinkommen des anderen
Ehegatten (RIS-Justiz RS0012492). Beisatz: Gemindert um je weitere
4 Prozent-Punkte für jedes unterhaltsberechtigte Kind des
Verpflichteten; von diesem Anteil am Familieneinkommen ist
schließlich das Nettoeinkommen des berechtigten Gatten zur Gänze
abzuziehen (T3).</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Der Unterhalt ist grundsätzlich durch Zahlung einer monatlich im
Voraus zu entrichtenden Geldrente zu gewähren (§ 70 Abs 1
EheG).</w:t>
      </w:r>
    </w:p>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Für die Vergangenheit kann der Berechtigte Erfüllung oder
Schadenersatz wegen Nichterfüllung erst von der Zeit an fordern, in
der der Unterhaltspflichtige in Verzug gekommen oder der
Unterhaltsanspruch rechtshängig geworden ist (§ 72 EheG).</w:t>
      </w:r>
    </w:p>
    <w:p>
      <w:pPr>
        <w:widowControl w:val="on"/>
        <w:pBdr/>
        <w:spacing w:before="140" w:after="240" w:line="288" w:lineRule="auto"/>
        <w:ind w:left="0" w:right="0"/>
        <w:jc w:val="left"/>
      </w:pPr>
      <w:r>
        <w:rPr>
          <w:rFonts w:ascii="Arial" w:hAnsi="Arial" w:eastAsia="Arial" w:cs="Arial"/>
          <w:color w:val="000000"/>
          <w:sz w:val="20"/>
          <w:szCs w:val="20"/>
        </w:rPr>
        <w:t xml:space="preserve">Der Verzug des Unterhaltspflichtigen ist Anspruchsvoraussetzung
des Unterhaltes für die Vergangenheit. Bei Einforderung eines
Unterhaltsrückstandes wird Verzug des Unterhaltspflichtigen
vorausgesetzt; dazu bedarf es zumindest einer durch eine
außergerichtliche, inhaltlich bestimmte Mahnung erfolgten
Zahlungsaufforderung an den Unterhaltspflichtigen. Der
Unterhaltsberechtigte hat den eingetretenen Verzug zu behaupten und
zu beweisen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Unterhaltsrecht</w:t>
      </w:r>
      <w:r>
        <w:rPr>
          <w:rFonts w:ascii="Arial" w:hAnsi="Arial" w:eastAsia="Arial" w:cs="Arial"/>
          <w:color w:val="000000"/>
          <w:position w:val="3"/>
          <w:sz w:val="18"/>
          <w:szCs w:val="18"/>
          <w:vertAlign w:val="superscript"/>
        </w:rPr>
        <w:t xml:space="preserve">3</w:t>
      </w:r>
      <w:r>
        <w:rPr>
          <w:rFonts w:ascii="Arial" w:hAnsi="Arial" w:eastAsia="Arial" w:cs="Arial"/>
          <w:color w:val="000000"/>
          <w:sz w:val="20"/>
          <w:szCs w:val="20"/>
        </w:rPr>
        <w:t xml:space="preserve">,
Rz 1566 mwN).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225955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2953024">
    <w:multiLevelType w:val="hybridMultilevel"/>
    <w:lvl w:ilvl="0" w:tplc="68910558">
      <w:start w:val="1"/>
      <w:numFmt w:val="decimal"/>
      <w:lvlText w:val="%1."/>
      <w:lvlJc w:val="left"/>
      <w:pPr>
        <w:ind w:left="720" w:hanging="360"/>
      </w:pPr>
    </w:lvl>
    <w:lvl w:ilvl="1" w:tplc="68910558" w:tentative="1">
      <w:start w:val="1"/>
      <w:numFmt w:val="lowerLetter"/>
      <w:lvlText w:val="%2."/>
      <w:lvlJc w:val="left"/>
      <w:pPr>
        <w:ind w:left="1440" w:hanging="360"/>
      </w:pPr>
    </w:lvl>
    <w:lvl w:ilvl="2" w:tplc="68910558" w:tentative="1">
      <w:start w:val="1"/>
      <w:numFmt w:val="lowerRoman"/>
      <w:lvlText w:val="%3."/>
      <w:lvlJc w:val="right"/>
      <w:pPr>
        <w:ind w:left="2160" w:hanging="180"/>
      </w:pPr>
    </w:lvl>
    <w:lvl w:ilvl="3" w:tplc="68910558" w:tentative="1">
      <w:start w:val="1"/>
      <w:numFmt w:val="decimal"/>
      <w:lvlText w:val="%4."/>
      <w:lvlJc w:val="left"/>
      <w:pPr>
        <w:ind w:left="2880" w:hanging="360"/>
      </w:pPr>
    </w:lvl>
    <w:lvl w:ilvl="4" w:tplc="68910558" w:tentative="1">
      <w:start w:val="1"/>
      <w:numFmt w:val="lowerLetter"/>
      <w:lvlText w:val="%5."/>
      <w:lvlJc w:val="left"/>
      <w:pPr>
        <w:ind w:left="3600" w:hanging="360"/>
      </w:pPr>
    </w:lvl>
    <w:lvl w:ilvl="5" w:tplc="68910558" w:tentative="1">
      <w:start w:val="1"/>
      <w:numFmt w:val="lowerRoman"/>
      <w:lvlText w:val="%6."/>
      <w:lvlJc w:val="right"/>
      <w:pPr>
        <w:ind w:left="4320" w:hanging="180"/>
      </w:pPr>
    </w:lvl>
    <w:lvl w:ilvl="6" w:tplc="68910558" w:tentative="1">
      <w:start w:val="1"/>
      <w:numFmt w:val="decimal"/>
      <w:lvlText w:val="%7."/>
      <w:lvlJc w:val="left"/>
      <w:pPr>
        <w:ind w:left="5040" w:hanging="360"/>
      </w:pPr>
    </w:lvl>
    <w:lvl w:ilvl="7" w:tplc="68910558" w:tentative="1">
      <w:start w:val="1"/>
      <w:numFmt w:val="lowerLetter"/>
      <w:lvlText w:val="%8."/>
      <w:lvlJc w:val="left"/>
      <w:pPr>
        <w:ind w:left="5760" w:hanging="360"/>
      </w:pPr>
    </w:lvl>
    <w:lvl w:ilvl="8" w:tplc="68910558" w:tentative="1">
      <w:start w:val="1"/>
      <w:numFmt w:val="lowerRoman"/>
      <w:lvlText w:val="%9."/>
      <w:lvlJc w:val="right"/>
      <w:pPr>
        <w:ind w:left="6480" w:hanging="180"/>
      </w:pPr>
    </w:lvl>
  </w:abstractNum>
  <w:abstractNum w:abstractNumId="770063044">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2953023">
    <w:multiLevelType w:val="hybridMultilevel"/>
    <w:lvl w:ilvl="0" w:tplc="56402182">
      <w:start w:val="1"/>
      <w:numFmt w:val="decimal"/>
      <w:lvlText w:val="%1."/>
      <w:lvlJc w:val="left"/>
      <w:pPr>
        <w:ind w:left="720" w:hanging="360"/>
      </w:pPr>
    </w:lvl>
    <w:lvl w:ilvl="1" w:tplc="56402182" w:tentative="1">
      <w:start w:val="1"/>
      <w:numFmt w:val="lowerLetter"/>
      <w:lvlText w:val="%2."/>
      <w:lvlJc w:val="left"/>
      <w:pPr>
        <w:ind w:left="1440" w:hanging="360"/>
      </w:pPr>
    </w:lvl>
    <w:lvl w:ilvl="2" w:tplc="56402182" w:tentative="1">
      <w:start w:val="1"/>
      <w:numFmt w:val="lowerRoman"/>
      <w:lvlText w:val="%3."/>
      <w:lvlJc w:val="right"/>
      <w:pPr>
        <w:ind w:left="2160" w:hanging="180"/>
      </w:pPr>
    </w:lvl>
    <w:lvl w:ilvl="3" w:tplc="56402182" w:tentative="1">
      <w:start w:val="1"/>
      <w:numFmt w:val="decimal"/>
      <w:lvlText w:val="%4."/>
      <w:lvlJc w:val="left"/>
      <w:pPr>
        <w:ind w:left="2880" w:hanging="360"/>
      </w:pPr>
    </w:lvl>
    <w:lvl w:ilvl="4" w:tplc="56402182" w:tentative="1">
      <w:start w:val="1"/>
      <w:numFmt w:val="lowerLetter"/>
      <w:lvlText w:val="%5."/>
      <w:lvlJc w:val="left"/>
      <w:pPr>
        <w:ind w:left="3600" w:hanging="360"/>
      </w:pPr>
    </w:lvl>
    <w:lvl w:ilvl="5" w:tplc="56402182" w:tentative="1">
      <w:start w:val="1"/>
      <w:numFmt w:val="lowerRoman"/>
      <w:lvlText w:val="%6."/>
      <w:lvlJc w:val="right"/>
      <w:pPr>
        <w:ind w:left="4320" w:hanging="180"/>
      </w:pPr>
    </w:lvl>
    <w:lvl w:ilvl="6" w:tplc="56402182" w:tentative="1">
      <w:start w:val="1"/>
      <w:numFmt w:val="decimal"/>
      <w:lvlText w:val="%7."/>
      <w:lvlJc w:val="left"/>
      <w:pPr>
        <w:ind w:left="5040" w:hanging="360"/>
      </w:pPr>
    </w:lvl>
    <w:lvl w:ilvl="7" w:tplc="56402182" w:tentative="1">
      <w:start w:val="1"/>
      <w:numFmt w:val="lowerLetter"/>
      <w:lvlText w:val="%8."/>
      <w:lvlJc w:val="left"/>
      <w:pPr>
        <w:ind w:left="5760" w:hanging="360"/>
      </w:pPr>
    </w:lvl>
    <w:lvl w:ilvl="8" w:tplc="56402182" w:tentative="1">
      <w:start w:val="1"/>
      <w:numFmt w:val="lowerRoman"/>
      <w:lvlText w:val="%9."/>
      <w:lvlJc w:val="right"/>
      <w:pPr>
        <w:ind w:left="6480" w:hanging="180"/>
      </w:pPr>
    </w:lvl>
  </w:abstractNum>
  <w:abstractNum w:abstractNumId="62953022">
    <w:multiLevelType w:val="hybridMultilevel"/>
    <w:lvl w:ilvl="0" w:tplc="555811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953022">
    <w:abstractNumId w:val="62953022"/>
  </w:num>
  <w:num w:numId="62953023">
    <w:abstractNumId w:val="62953023"/>
  </w:num>
  <w:num w:numId="770063044">
    <w:abstractNumId w:val="770063044"/>
  </w:num>
  <w:num w:numId="62953024">
    <w:abstractNumId w:val="62953024"/>
  </w:num>
  <w:num w:numId="192259558">
    <w:abstractNumId w:val="1922595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44685536" Type="http://schemas.openxmlformats.org/officeDocument/2006/relationships/numbering" Target="numbering.xml"/><Relationship Id="rId20965582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