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6241164" w:name="document"/>
    <w:bookmarkEnd w:id="16241164"/>
    <w:p/>
    <w:p>
      <w:pPr>
        <w:widowControl w:val="on"/>
        <w:pBdr/>
        <w:spacing w:before="0" w:after="280" w:line="240" w:lineRule="auto"/>
        <w:ind w:left="0" w:right="0"/>
        <w:jc w:val="left"/>
      </w:pPr>
      <w:r>
        <w:rPr>
          <w:rFonts w:ascii="Arial" w:hAnsi="Arial" w:eastAsia="Arial" w:cs="Arial"/>
          <w:color w:val="363A40"/>
          <w:sz w:val="24"/>
          <w:szCs w:val="24"/>
        </w:rPr>
        <w:t xml:space="preserve">Dokument-ID: 1055516 | Brigitta Hülle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Ehescheidungsklage (wegen Aufhebung der häuslichen Gemeinschaft
gem § 55 EheG)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 gegenständliche Musterklage bietet eine Vorlage für eine Klage
auf Scheidung wegen Aufhebung der häuslichen Gemeinschaft nach
§ 55 EheG.</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Brigitta
Hülle</w:t>
      </w:r>
      <w:r>
        <w:rPr>
          <w:rFonts w:ascii="Arial" w:hAnsi="Arial" w:eastAsia="Arial" w:cs="Arial"/>
          <w:color w:val="000000"/>
          <w:sz w:val="20"/>
          <w:szCs w:val="20"/>
        </w:rPr>
        <w:br/>
        <w:t xml:space="preserve">Rechte Wienzeile 31/4</w:t>
      </w:r>
      <w:r>
        <w:rPr>
          <w:rFonts w:ascii="Arial" w:hAnsi="Arial" w:eastAsia="Arial" w:cs="Arial"/>
          <w:color w:val="000000"/>
          <w:sz w:val="20"/>
          <w:szCs w:val="20"/>
        </w:rPr>
        <w:br/>
        <w:t xml:space="preserve">1040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01.02.2020</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Meier, geb 09.12.1951</w:t>
            </w:r>
            <w:r>
              <w:rPr>
                <w:rFonts w:ascii="Arial" w:hAnsi="Arial" w:eastAsia="Arial" w:cs="Arial"/>
                <w:color w:val="000000"/>
                <w:position w:val="0"/>
                <w:sz w:val="20"/>
                <w:szCs w:val="20"/>
                <w:shd w:val="clear" w:color="auto" w:fill="FFFFFF"/>
              </w:rPr>
              <w:br/>
              <w:t xml:space="preserve">Kastaniengasse 12/16</w:t>
            </w:r>
            <w:r>
              <w:rPr>
                <w:rFonts w:ascii="Arial" w:hAnsi="Arial" w:eastAsia="Arial" w:cs="Arial"/>
                <w:color w:val="000000"/>
                <w:position w:val="0"/>
                <w:sz w:val="20"/>
                <w:szCs w:val="20"/>
                <w:shd w:val="clear" w:color="auto" w:fill="FFFFFF"/>
              </w:rPr>
              <w:br/>
              <w:t xml:space="preserve">1140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Brigitta Hülle, Rechtsanwältin</w:t>
            </w:r>
            <w:r>
              <w:rPr>
                <w:rFonts w:ascii="Arial" w:hAnsi="Arial" w:eastAsia="Arial" w:cs="Arial"/>
                <w:color w:val="000000"/>
                <w:position w:val="0"/>
                <w:sz w:val="20"/>
                <w:szCs w:val="20"/>
                <w:shd w:val="clear" w:color="auto" w:fill="FFFFFF"/>
              </w:rPr>
              <w:br/>
              <w:t xml:space="preserve">Rechte Wienzeile 31/4</w:t>
            </w:r>
            <w:r>
              <w:rPr>
                <w:rFonts w:ascii="Arial" w:hAnsi="Arial" w:eastAsia="Arial" w:cs="Arial"/>
                <w:color w:val="000000"/>
                <w:position w:val="0"/>
                <w:sz w:val="20"/>
                <w:szCs w:val="20"/>
                <w:shd w:val="clear" w:color="auto" w:fill="FFFFFF"/>
              </w:rPr>
              <w:br/>
              <w:t xml:space="preserve">1040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 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Martina Meier, geb 01.06.1955, Hausfrau</w:t>
            </w:r>
            <w:r>
              <w:rPr>
                <w:rFonts w:ascii="Arial" w:hAnsi="Arial" w:eastAsia="Arial" w:cs="Arial"/>
                <w:color w:val="000000"/>
                <w:position w:val="0"/>
                <w:sz w:val="20"/>
                <w:szCs w:val="20"/>
                <w:shd w:val="clear" w:color="auto" w:fill="FFFFFF"/>
              </w:rPr>
              <w:br/>
              <w:t xml:space="preserve">Rosenwassergasse 38/6</w:t>
            </w:r>
            <w:r>
              <w:rPr>
                <w:rFonts w:ascii="Arial" w:hAnsi="Arial" w:eastAsia="Arial" w:cs="Arial"/>
                <w:color w:val="000000"/>
                <w:position w:val="0"/>
                <w:sz w:val="20"/>
                <w:szCs w:val="20"/>
                <w:shd w:val="clear" w:color="auto" w:fill="FFFFFF"/>
              </w:rPr>
              <w:br/>
              <w:t xml:space="preserve">1030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Ehescheidung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Vollmachtbekanntgabe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Klage auf Ehescheidung wegen
Auflösung der häuslichen Gemeinschaft</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 Beilage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 Vollmachtbekanntgabe</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Brigitta Hülle, Rechtsanwältin in 1040 Wien, Rechte
Wienzeile 31/4, AVR-Code R…, mit meiner rechtsfreundlichen
Vertretung beauftragt habe und ersuche ich um Kenntnisnahme sowie
Zustellung sämtlicher gerichtlicher Schriftstücke zuhanden meiner
ausgewiesenen Vertreterin.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 Klage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mit der Beklagten am 25.03.1978 vor dem Standesamt
Wien-Innere Stadt zu Fam.Buch-Nr 99/1978 die Ehe 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handelt sich beiderseits um die erste Ehe. Wir sind beide
österreichische Staatsangehörige und röm-kath Ehepakte wurden keine
errichtet. Unserer Ehe entstammen zwei mittlerweile volljährige
Kinder.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 letzter gemeinsamer gewöhnlicher Aufenthaltsort ist in
Rosenwassergasse 38/6, 1030 Wien gelegen, sodass die Zuständigkeit
des angerufenen Gerichtes gegeben ist.</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Heiratsurkunde, Beilage ./A</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bin im Oktober 2016 aus der Ehewohnung in Rosenwassergasse
38/6, 1030 Wien ausgezogen, die häusliche Gemeinschaft der
Ehegatten ist sohin seit über drei Jahren aufgehoben.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bin zu einer Fortsetzung der Ehe mit der Beklagten nicht
mehr bereit, unsere Ehe ist so tiefgreifend und unheilbar
zerrüttet, dass die Wiederherstellung einer ihrem Wesen
entsprechenden Lebensgemeinschaft nicht erwartet werden kann.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Beweise
ausdrücklich vorbehalten</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 den genannten Gründen beantrage ich daher nachstehendes</w:t>
            </w:r>
          </w:p>
          <w:p>
            <w:pPr>
              <w:widowControl w:val="on"/>
              <w:pBdr/>
              <w:shd w:val="clear" w:color="auto" w:fill="FFFFFF"/>
              <w:spacing w:before="0" w:after="0" w:line="346" w:lineRule="auto"/>
              <w:ind w:left="0" w:right="0"/>
              <w:jc w:val="center"/>
              <w:textAlignment w:val="top"/>
              <w:outlineLvl w:val="1"/>
            </w:pPr>
            <w:r>
              <w:rPr>
                <w:rFonts w:ascii="Arial" w:hAnsi="Arial" w:eastAsia="Arial" w:cs="Arial"/>
                <w:b/>
                <w:bCs/>
                <w:color w:val="363A40"/>
                <w:position w:val="0"/>
                <w:sz w:val="28"/>
                <w:szCs w:val="28"/>
                <w:shd w:val="clear" w:color="auto" w:fill="FFFFFF"/>
              </w:rPr>
              <w:t xml:space="preserve">Urteil:</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zwischen der klagenden Partei, Michael Meier, geb
09.12.1951, und der beklagten Partei, Martina Meier, geb
01.06.1955, am 25.03.1978 vor dem Standesamt Wien-Innere Stadt zu
Fam.Buch-Nr 99/1978 geschlossene Ehe wird gem § 55 EheG
mit der Wirkung geschieden, dass sie mit Rechtskraft des Urteils
aufgelöst ist.</w:t>
            </w:r>
          </w:p>
        </w:tc>
      </w:tr>
    </w:tbl>
    <w:p>
      <w:pPr>
        <w:widowControl w:val="on"/>
        <w:pBdr/>
        <w:spacing w:before="140" w:after="240" w:line="288" w:lineRule="auto"/>
        <w:ind w:left="0" w:right="0"/>
        <w:jc w:val="right"/>
      </w:pPr>
      <w:r>
        <w:rPr>
          <w:rFonts w:ascii="Arial" w:hAnsi="Arial" w:eastAsia="Arial" w:cs="Arial"/>
          <w:color w:val="000000"/>
          <w:sz w:val="20"/>
          <w:szCs w:val="20"/>
        </w:rPr>
        <w:t xml:space="preserve">Michael Meier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Pauschalgebühr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312,00</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sachliche Zuständigkeit richtet sich nach § 49 Abs 2
Z 2a JN. Die örtliche Zuständigkeit für Streitigkeiten aus dem
Eheverhältnis oder der eingetragenen Partnerschaft richtet sich
nach § 76 JN.</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Unter häuslicher Gemeinschaft nach § 55 EheG ist die
Geschlechtsgemeinschaft, Wohnungsgemeinschaft und
Wirtschaftsgemeinschaft zu verstehen. Erst wenn alle drei
Voraussetzungen weggefallen sind, kann von einer Aufhebung der
häuslichen Gemeinschaft gesprochen werden (RS0057116).</w:t>
      </w:r>
    </w:p>
    <w:p>
      <w:pPr>
        <w:widowControl w:val="on"/>
        <w:pBdr/>
        <w:spacing w:before="140" w:after="240" w:line="288" w:lineRule="auto"/>
        <w:ind w:left="0" w:right="0"/>
        <w:jc w:val="left"/>
      </w:pPr>
      <w:r>
        <w:rPr>
          <w:rFonts w:ascii="Arial" w:hAnsi="Arial" w:eastAsia="Arial" w:cs="Arial"/>
          <w:color w:val="000000"/>
          <w:sz w:val="20"/>
          <w:szCs w:val="20"/>
        </w:rPr>
        <w:t xml:space="preserve">Das Vorliegen einer Wohnungsgemeinschaft kann auch dann verneint
werden, wenn die Ehegatten in der Wohnung verbleiben, doch muss
dann ein Zustand bestehen, durch den die persönliche Berührung der
Ehegatten weitgehend ausgeschaltet ist (RS0057040).</w:t>
      </w:r>
    </w:p>
    <w:p>
      <w:pPr>
        <w:widowControl w:val="on"/>
        <w:pBdr/>
        <w:spacing w:before="140" w:after="240" w:line="288" w:lineRule="auto"/>
        <w:ind w:left="0" w:right="0"/>
        <w:jc w:val="left"/>
      </w:pPr>
      <w:r>
        <w:rPr>
          <w:rFonts w:ascii="Arial" w:hAnsi="Arial" w:eastAsia="Arial" w:cs="Arial"/>
          <w:color w:val="000000"/>
          <w:sz w:val="20"/>
          <w:szCs w:val="20"/>
        </w:rPr>
        <w:t xml:space="preserve">Unheilbare Ehezerrüttung ist dann anzunehmen, wenn die geistige,
seelische und körperliche Gemeinschaft zwischen den Ehegatten und
damit die Grundlage der Ehe objektiv und wenigstens bei einem
Ehegatten auch subjektiv zu bestehen aufgehört haben, wobei es
genügt, dass der Kläger die eheliche Gesinnung verloren hat
(RS0056832).</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Anders als bei einer Scheidung nach § 49 EheG kann jeder
Ehegatte auf Scheidung nach § 55 EheG klagen, und zwar auch
der Ehegatte, dem die Aufhebung der häuslichen Gemeinschaft als
schwere Eheverfehlung zuzurechnen ist (vgl </w:t>
      </w:r>
      <w:r>
        <w:rPr>
          <w:rFonts w:ascii="Arial" w:hAnsi="Arial" w:eastAsia="Arial" w:cs="Arial"/>
          <w:i/>
          <w:iCs/>
          <w:color w:val="000000"/>
          <w:sz w:val="20"/>
          <w:szCs w:val="20"/>
        </w:rPr>
        <w:t xml:space="preserve">Hopf/Kathrein,</w:t>
      </w:r>
      <w:r>
        <w:rPr>
          <w:rFonts w:ascii="Arial" w:hAnsi="Arial" w:eastAsia="Arial" w:cs="Arial"/>
          <w:color w:val="000000"/>
          <w:sz w:val="20"/>
          <w:szCs w:val="20"/>
        </w:rPr>
        <w:t xml:space="preserve">
Ehegesetz³, § 55 Rz 2).</w:t>
      </w:r>
    </w:p>
    <w:p>
      <w:pPr>
        <w:widowControl w:val="on"/>
        <w:pBdr/>
        <w:spacing w:before="140" w:after="240" w:line="288" w:lineRule="auto"/>
        <w:ind w:left="0" w:right="0"/>
        <w:jc w:val="left"/>
      </w:pPr>
      <w:r>
        <w:rPr>
          <w:rFonts w:ascii="Arial" w:hAnsi="Arial" w:eastAsia="Arial" w:cs="Arial"/>
          <w:color w:val="000000"/>
          <w:sz w:val="20"/>
          <w:szCs w:val="20"/>
        </w:rPr>
        <w:t xml:space="preserve">Wird eine Ehe nach § 55 EheG geschieden, erfolgt kein
Ausspruch über das Verschulden an der Zerrüttung der Ehe, es sei
denn, der Kläger hat die Zerrüttung der Ehe allein oder überwiegend
verschuldet und der Beklagte hat einen entsprechenden Antrag nach
§ 61 Abs 3 EheG gestellt.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Demzufolge kann der Kläger auch keinen Kostenersatz erlangen.</w:t>
      </w:r>
    </w:p>
    <w:p>
      <w:pPr>
        <w:widowControl w:val="on"/>
        <w:pBdr/>
        <w:spacing w:before="140" w:after="240" w:line="288" w:lineRule="auto"/>
        <w:ind w:left="0" w:right="0"/>
        <w:jc w:val="left"/>
      </w:pPr>
      <w:r>
        <w:rPr>
          <w:rFonts w:ascii="Arial" w:hAnsi="Arial" w:eastAsia="Arial" w:cs="Arial"/>
          <w:color w:val="000000"/>
          <w:sz w:val="20"/>
          <w:szCs w:val="20"/>
        </w:rPr>
        <w:t xml:space="preserve">Wird auf Scheidung oder Aufhebung der Ehe erkannt oder die Ehe
für nichtig erklärt, ohne dass der unterlegene Teil hieran schuldig
ist, so sind die Kosten gegeneinander aufzuheben. Hat eine Partei
von den im § 40 Abs 1 letzter Satz ZPO angeführten
Barauslagen mehr als die Hälfte bestritten, so hat ihr der andere
Ehegatte den Mehrbetrag zu ersetzen (§ 45a ZPO).</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37850">
    <w:multiLevelType w:val="hybridMultilevel"/>
    <w:lvl w:ilvl="0" w:tplc="53048448">
      <w:start w:val="1"/>
      <w:numFmt w:val="decimal"/>
      <w:lvlText w:val="%1."/>
      <w:lvlJc w:val="left"/>
      <w:pPr>
        <w:ind w:left="720" w:hanging="360"/>
      </w:pPr>
    </w:lvl>
    <w:lvl w:ilvl="1" w:tplc="53048448" w:tentative="1">
      <w:start w:val="1"/>
      <w:numFmt w:val="lowerLetter"/>
      <w:lvlText w:val="%2."/>
      <w:lvlJc w:val="left"/>
      <w:pPr>
        <w:ind w:left="1440" w:hanging="360"/>
      </w:pPr>
    </w:lvl>
    <w:lvl w:ilvl="2" w:tplc="53048448" w:tentative="1">
      <w:start w:val="1"/>
      <w:numFmt w:val="lowerRoman"/>
      <w:lvlText w:val="%3."/>
      <w:lvlJc w:val="right"/>
      <w:pPr>
        <w:ind w:left="2160" w:hanging="180"/>
      </w:pPr>
    </w:lvl>
    <w:lvl w:ilvl="3" w:tplc="53048448" w:tentative="1">
      <w:start w:val="1"/>
      <w:numFmt w:val="decimal"/>
      <w:lvlText w:val="%4."/>
      <w:lvlJc w:val="left"/>
      <w:pPr>
        <w:ind w:left="2880" w:hanging="360"/>
      </w:pPr>
    </w:lvl>
    <w:lvl w:ilvl="4" w:tplc="53048448" w:tentative="1">
      <w:start w:val="1"/>
      <w:numFmt w:val="lowerLetter"/>
      <w:lvlText w:val="%5."/>
      <w:lvlJc w:val="left"/>
      <w:pPr>
        <w:ind w:left="3600" w:hanging="360"/>
      </w:pPr>
    </w:lvl>
    <w:lvl w:ilvl="5" w:tplc="53048448" w:tentative="1">
      <w:start w:val="1"/>
      <w:numFmt w:val="lowerRoman"/>
      <w:lvlText w:val="%6."/>
      <w:lvlJc w:val="right"/>
      <w:pPr>
        <w:ind w:left="4320" w:hanging="180"/>
      </w:pPr>
    </w:lvl>
    <w:lvl w:ilvl="6" w:tplc="53048448" w:tentative="1">
      <w:start w:val="1"/>
      <w:numFmt w:val="decimal"/>
      <w:lvlText w:val="%7."/>
      <w:lvlJc w:val="left"/>
      <w:pPr>
        <w:ind w:left="5040" w:hanging="360"/>
      </w:pPr>
    </w:lvl>
    <w:lvl w:ilvl="7" w:tplc="53048448" w:tentative="1">
      <w:start w:val="1"/>
      <w:numFmt w:val="lowerLetter"/>
      <w:lvlText w:val="%8."/>
      <w:lvlJc w:val="left"/>
      <w:pPr>
        <w:ind w:left="5760" w:hanging="360"/>
      </w:pPr>
    </w:lvl>
    <w:lvl w:ilvl="8" w:tplc="53048448" w:tentative="1">
      <w:start w:val="1"/>
      <w:numFmt w:val="lowerRoman"/>
      <w:lvlText w:val="%9."/>
      <w:lvlJc w:val="right"/>
      <w:pPr>
        <w:ind w:left="6480" w:hanging="180"/>
      </w:pPr>
    </w:lvl>
  </w:abstractNum>
  <w:abstractNum w:abstractNumId="39437849">
    <w:multiLevelType w:val="hybridMultilevel"/>
    <w:lvl w:ilvl="0" w:tplc="426950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37849">
    <w:abstractNumId w:val="39437849"/>
  </w:num>
  <w:num w:numId="39437850">
    <w:abstractNumId w:val="394378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96548624" Type="http://schemas.openxmlformats.org/officeDocument/2006/relationships/numbering" Target="numbering.xml"/><Relationship Id="rId44229166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