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0166949" w:name="document"/>
    <w:bookmarkEnd w:id="30166949"/>
    <w:p/>
    <w:p>
      <w:pPr>
        <w:widowControl w:val="on"/>
        <w:pBdr/>
        <w:spacing w:before="0" w:after="280" w:line="240" w:lineRule="auto"/>
        <w:ind w:left="0" w:right="0"/>
        <w:jc w:val="left"/>
      </w:pPr>
      <w:r>
        <w:rPr>
          <w:rFonts w:ascii="Arial" w:hAnsi="Arial" w:eastAsia="Arial" w:cs="Arial"/>
          <w:color w:val="363A40"/>
          <w:sz w:val="24"/>
          <w:szCs w:val="24"/>
        </w:rPr>
        <w:t xml:space="preserve">Dokument-ID: 1029132 | Christine Fidler-Faßmann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Erlassung einer einstweiligen Verfügung gem § 382b
EO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 Fällen der Gewalt ist zu unterscheiden zwischen der
einstweiligen Verfügung zum Schutz vor Gewalt in Wohnungen
(§ 382b iVm §§ 382e ff EO) und der einstweiligen
Verfügung zum allgemeinen Schutz vor Gewalt (§ 382c EO).
Wichtiges Unterscheidungsmerkmal dieser beiden einstweiligen
Verfügungen ist, dass bei der Verfügung nach § 382b EO das
dringende Wohnbedürfnis der gefährdeten Person und bei der
Verfügung nach § 382c EO die Interessenabwägung zugunsten der
gefährdeten Partei zu bescheinigen ist.</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Liesing</w:t>
      </w:r>
      <w:r>
        <w:rPr>
          <w:rFonts w:ascii="Arial" w:hAnsi="Arial" w:eastAsia="Arial" w:cs="Arial"/>
          <w:color w:val="000000"/>
          <w:sz w:val="20"/>
          <w:szCs w:val="20"/>
        </w:rPr>
        <w:br/>
        <w:t xml:space="preserve">Haeckelstraße 8</w:t>
      </w:r>
      <w:r>
        <w:rPr>
          <w:rFonts w:ascii="Arial" w:hAnsi="Arial" w:eastAsia="Arial" w:cs="Arial"/>
          <w:color w:val="000000"/>
          <w:sz w:val="20"/>
          <w:szCs w:val="20"/>
        </w:rPr>
        <w:br/>
        <w:t xml:space="preserve">1230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 geb 01.01.1980</w:t>
            </w:r>
            <w:r>
              <w:rPr>
                <w:rFonts w:ascii="Arial" w:hAnsi="Arial" w:eastAsia="Arial" w:cs="Arial"/>
                <w:color w:val="000000"/>
                <w:position w:val="0"/>
                <w:sz w:val="20"/>
                <w:szCs w:val="20"/>
                <w:shd w:val="clear" w:color="auto" w:fill="FFFFFF"/>
              </w:rPr>
              <w:br/>
              <w:t xml:space="preserve">C-Straße 1</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 E, geb 02.02.1990</w:t>
            </w:r>
            <w:r>
              <w:rPr>
                <w:rFonts w:ascii="Arial" w:hAnsi="Arial" w:eastAsia="Arial" w:cs="Arial"/>
                <w:color w:val="000000"/>
                <w:position w:val="0"/>
                <w:sz w:val="20"/>
                <w:szCs w:val="20"/>
                <w:shd w:val="clear" w:color="auto" w:fill="FFFFFF"/>
              </w:rPr>
              <w:br/>
              <w:t xml:space="preserve">C-Straße 1</w:t>
            </w:r>
            <w:r>
              <w:rPr>
                <w:rFonts w:ascii="Arial" w:hAnsi="Arial" w:eastAsia="Arial" w:cs="Arial"/>
                <w:color w:val="000000"/>
                <w:position w:val="0"/>
                <w:sz w:val="20"/>
                <w:szCs w:val="20"/>
                <w:shd w:val="clear" w:color="auto" w:fill="FFFFFF"/>
              </w:rPr>
              <w:br/>
              <w:t xml:space="preserve">1230 Wien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Erlassung einer
einstweiligen Verfügung gem § 382b EO</w:t>
      </w:r>
    </w:p>
    <w:p>
      <w:pPr>
        <w:widowControl w:val="on"/>
        <w:pBdr/>
        <w:spacing w:before="140" w:after="240" w:line="288" w:lineRule="auto"/>
        <w:ind w:left="0" w:right="0"/>
        <w:jc w:val="left"/>
      </w:pPr>
      <w:r>
        <w:rPr>
          <w:rFonts w:ascii="Arial" w:hAnsi="Arial" w:eastAsia="Arial" w:cs="Arial"/>
          <w:color w:val="000000"/>
          <w:sz w:val="20"/>
          <w:szCs w:val="20"/>
        </w:rPr>
        <w:t xml:space="preserve">Die Parteien sind seit … [Datum] verheiratet und leben in der
gemeinsamen Ehewohnung in 1230 Wien, C-Straße 1.</w:t>
      </w:r>
    </w:p>
    <w:p>
      <w:pPr>
        <w:widowControl w:val="on"/>
        <w:pBdr/>
        <w:spacing w:before="140" w:after="240" w:line="288" w:lineRule="auto"/>
        <w:ind w:left="0" w:right="0"/>
        <w:jc w:val="left"/>
      </w:pPr>
      <w:r>
        <w:rPr>
          <w:rFonts w:ascii="Arial" w:hAnsi="Arial" w:eastAsia="Arial" w:cs="Arial"/>
          <w:color w:val="000000"/>
          <w:sz w:val="20"/>
          <w:szCs w:val="20"/>
        </w:rPr>
        <w:t xml:space="preserve">Am 06.12.20… hatte der Antragsgegner viel Alkohol getrunken und
war sehr aggressiv. Dies war nicht das erste Mal, dass er mehr
trank als er vertrug. Dieses Mal eskalierte jedoch ein Streit über
das Fernsehprogramm und der Antragsgegner schlug der
Antragstellerin mit der Faust in den Magen und dann ins Gesicht.
Die Gegnerin rief die Polizei, welche den Antragsteller daraufhin
weggewiesen hat. Die Polizei hat gegen den Antragsgegner am selben
Tag ein Betretungsverbot für die Wohnung verhängt.</w:t>
      </w:r>
    </w:p>
    <w:p>
      <w:pPr>
        <w:widowControl w:val="on"/>
        <w:pBdr/>
        <w:spacing w:before="140" w:after="240" w:line="288" w:lineRule="auto"/>
        <w:ind w:left="0" w:right="0"/>
        <w:jc w:val="left"/>
      </w:pPr>
      <w:r>
        <w:rPr>
          <w:rFonts w:ascii="Arial" w:hAnsi="Arial" w:eastAsia="Arial" w:cs="Arial"/>
          <w:color w:val="000000"/>
          <w:sz w:val="20"/>
          <w:szCs w:val="20"/>
        </w:rPr>
        <w:t xml:space="preserve">Durch den körperlichen Angriff des Antragsgegners ist das
weitere Zusammenleben für die Antragstellerin unzumutbar. Die
Antragstellerin hat ein dringendes Wohnbedürfnis an der Wohnung in
1239 Wien, C-Straße 1. Sie verfügt sonst über keine Möglichkeit zu
wohnen.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Mietvertrag betreffend die Wohnung</w:t>
            </w:r>
            <w:r>
              <w:rPr>
                <w:rFonts w:ascii="Arial" w:hAnsi="Arial" w:eastAsia="Arial" w:cs="Arial"/>
                <w:color w:val="000000"/>
                <w:position w:val="0"/>
                <w:sz w:val="20"/>
                <w:szCs w:val="20"/>
                <w:shd w:val="clear" w:color="auto" w:fill="FFFFFF"/>
              </w:rPr>
              <w:br/>
              <w:t xml:space="preserve">Betretungsverbot des Stadtpolizeikommandos vom 06.12.20…</w:t>
            </w:r>
          </w:p>
        </w:tc>
      </w:tr>
    </w:tbl>
    <w:p>
      <w:pPr>
        <w:widowControl w:val="on"/>
        <w:pBdr/>
        <w:spacing w:before="140" w:after="240" w:line="288" w:lineRule="auto"/>
        <w:ind w:left="0" w:right="0"/>
        <w:jc w:val="left"/>
      </w:pPr>
      <w:r>
        <w:rPr>
          <w:rFonts w:ascii="Arial" w:hAnsi="Arial" w:eastAsia="Arial" w:cs="Arial"/>
          <w:color w:val="000000"/>
          <w:sz w:val="20"/>
          <w:szCs w:val="20"/>
        </w:rPr>
        <w:t xml:space="preserve">Es wird daher folgender Beschluss beantragt:</w:t>
      </w:r>
    </w:p>
    <w:p>
      <w:pPr>
        <w:numPr>
          <w:ilvl w:val="0"/>
          <w:numId w:val="5458696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Antragsgegner wird der Aufenthalt in der Wohnung in 1230
Wien, C-Straße 1, sowie der unmittelbaren Umgebung der Wohnung
verboten.</w:t>
      </w:r>
    </w:p>
    <w:p>
      <w:pPr>
        <w:numPr>
          <w:ilvl w:val="0"/>
          <w:numId w:val="5458696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Antragsgegner wird aufgetragen, das Zusammentreffen sowie
die Kontaktaufnahme mit der Antragstellerin zu vermeiden.</w:t>
      </w:r>
    </w:p>
    <w:p>
      <w:pPr>
        <w:numPr>
          <w:ilvl w:val="0"/>
          <w:numId w:val="5458696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Antragsgegner ist verpflichtet die Schlüssel zur Wohnung
und zur Garage auszufolgen.</w:t>
      </w:r>
    </w:p>
    <w:p>
      <w:pPr>
        <w:numPr>
          <w:ilvl w:val="0"/>
          <w:numId w:val="5458696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gilt für die Dauer von vier
Monaten.</w:t>
      </w:r>
    </w:p>
    <w:p>
      <w:pPr>
        <w:numPr>
          <w:ilvl w:val="0"/>
          <w:numId w:val="5458696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beantragten Maßnahmen sind sofort zu vollziehen und die
Antragstellerin ist vom Zeitpunkt des Vollzugs zu verständigen. Die
Exekutive wird beauftragt, jeweils auf Ersuchen der Antragstellerin
den der einstweiligen Verfügung entsprechenden Zustand durch
unmittelbare Befehls- und Zwangsgewalt herzustellen.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050526" w:name="note1"/>
            <w:bookmarkEnd w:id="41050526"/>
            <w:bookmarkStart w:id="3424340541682" w:name="note1"/>
            <w:r>
              <w:rPr>
                <w:rFonts w:ascii="Arial" w:hAnsi="Arial" w:eastAsia="Arial" w:cs="Arial"/>
                <w:b/>
                <w:bCs/>
                <w:color w:val="000000"/>
                <w:position w:val="0"/>
                <w:sz w:val="20"/>
                <w:szCs w:val="20"/>
              </w:rPr>
              <w:t xml:space="preserve">[1]</w:t>
            </w:r>
            <w:bookmarkEnd w:id="34243405416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Voraussetzung für die Erlassung einer einstweiligen Verfügung
nach § 382b EO ist, dass</w:t>
            </w:r>
          </w:p>
          <w:p>
            <w:pPr>
              <w:numPr>
                <w:ilvl w:val="0"/>
                <w:numId w:val="335096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 körperlicher Angriff,</w:t>
            </w:r>
          </w:p>
          <w:p>
            <w:pPr>
              <w:numPr>
                <w:ilvl w:val="0"/>
                <w:numId w:val="335096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eine Drohung mit einem solchen körperlichen Angriff oder</w:t>
            </w:r>
          </w:p>
          <w:p>
            <w:pPr>
              <w:numPr>
                <w:ilvl w:val="0"/>
                <w:numId w:val="335096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Psychoterror (ein die psychische Gesundheit erheblich
beeinträchtigendes Verhalten)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vorliegt und dieses Verhalten das weitere Zusammenleben
unzumutbar macht.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bloße Unterlassung der adäquaten Beaufsichtigung einer
Person – selbst vor dem Hintergrund einer allfällig damit
einhergehenden Gefährdung ihrer körperlichen Unversehrtheit –
stellt keinen körperlichen Angriff iSd §§ 382b, 382c EO dar
(OGH 20.11.2024, 7 Ob 186/24i).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20980" w:name="note2"/>
            <w:bookmarkEnd w:id="8820980"/>
            <w:bookmarkStart w:id="5558811603419" w:name="note2"/>
            <w:r>
              <w:rPr>
                <w:rFonts w:ascii="Arial" w:hAnsi="Arial" w:eastAsia="Arial" w:cs="Arial"/>
                <w:b/>
                <w:bCs/>
                <w:color w:val="000000"/>
                <w:position w:val="0"/>
                <w:sz w:val="20"/>
                <w:szCs w:val="20"/>
              </w:rPr>
              <w:t xml:space="preserve">[2]</w:t>
            </w:r>
            <w:bookmarkEnd w:id="55588116034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„Psychoterror“ ist, weil die Zumutbarkeitsfrage entscheidet,
nicht nach objektiven, sondern nach subjektiven Kriterien zu
beurteilen. Von Bedeutung ist aber nicht ein Verhalten, welches der
Durchschnittsmensch als „Psychoterror“ empfände, sondern die
Wirkung eines bestimmten Verhaltens gerade auf die Psyche der
Antragstellerin (RS0110446). Die mit einem Scheidungsverfahren
üblicherweise verbundene nervliche Belastung ist noch keine
erhebliche Beeinträchtigung der psychischen Gesundheit. Die
Wegweisung darf in keinem Fall eine unangemessene Reaktion auf das
Verhalten des Antragsgegners sein. Die subjektive Auslegung des
Begriffs „Psychoterror" kann nicht so weit gehen, dass jegliches
Verhalten, das nicht den normalen Umgangsformen entspricht, aus
einer subjektiven Sichtweise heraus die Unzumutbarkeit des
Zusammenlebens begründen könnte (RS0121302).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Überwachen und Ausspionieren der Telefonkontakte der
Antragstellerin und „Beweismittelbeschaffungen“ (als
Tonaufnahmegerät verwendetes, verstecktes Mobiltelefon in der
Ehewohnung, Entnehmen von Haaren von der Haarbürste für einen
Suchtmitteltest), die bei der Antragstellerin zu Belastungen und
vegetativen Beschwerden führten, rechtfertigen die Erlassung einer
einstweiligen Verfügung nach § 382b EO, weil es sich dabei um
schwerwiegende Vertrauensbrüche und unerträgliche Eingriffe in die
Privatsphäre eines Ehegatten handelt, die auch im Rahmen eines
anhängigen Scheidungsverfahrens keinesfalls zu tolerieren sind und
damit der Antragstellerin das weitere Zusammenleben unzumutbar
machen (7 Ob 151/17g).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085916" w:name="note3"/>
            <w:bookmarkEnd w:id="63085916"/>
            <w:bookmarkStart w:id="6153204850043" w:name="note3"/>
            <w:r>
              <w:rPr>
                <w:rFonts w:ascii="Arial" w:hAnsi="Arial" w:eastAsia="Arial" w:cs="Arial"/>
                <w:b/>
                <w:bCs/>
                <w:color w:val="000000"/>
                <w:position w:val="0"/>
                <w:sz w:val="20"/>
                <w:szCs w:val="20"/>
              </w:rPr>
              <w:t xml:space="preserve">[3]</w:t>
            </w:r>
            <w:bookmarkEnd w:id="61532048500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EV zum Schutz vor Gewalt in Wohnung setzt voraus, dass eine
Person einer anderen Person durch einen körperlichen Angriff, eine
Drohung mit einem solchen oder ein die psychische Gesundheit
erheblich beeinträchtigendes Verhalten das weitere Zusammenleben
unzumutbar macht und die gefährdete Partei ein dringendes
Wohnbedürfnis an der gegenständlichen Wohnung besteht. Auf die
Eigentumsverhältnisse der Wohnung kommt es dabei nicht an. Das
Gericht kann dann verfügen, dass der Gegner der gefährdeten Partei
die Wohnung und die unmittelbare Umgebung verlassen muss und die
Rückkehr und die unmittelbare Umgebung verbieten. Maßgeblich für
die Beurteilung der Unzumutbarkeit eines weiteren Zusammenlebens
nach § 382b EO sind Ausmaß, Häufigkeit und Intensität der
bereits – auch schon länger zurückliegenden – angedrohten oder gar
verwirklichten Angriffe sowie bei – ernst gemeinten und als solche
verstandenen – Drohungen die Wahrscheinlichkeit deren Ausführung.
Je massiver das dem Antragsgegner zur Last fallende Verhalten auf
die körperliche und seelische Integrität des Opfers eingewirkt hat,
je schwerer die unmittelbaren Auswirkungen und die weiteren
Beeinträchtigungen des Antragsgegners sind und je häufiger es zu
solchen Vorfällen gekommen ist, desto eher wird unter den
maßgeblichen Umständen des Einzelfalls von einer Unzumutbarkeit des
weiteren Zusammenlebens auszugehen sein. Je leichtere Folgen das
Verhalten des Antragsgegners gezeitigt hat, je länger es – ohne
weitere „einschlägige“ Vorkommnisse – zurückliegt und je mehr sich
der Antragsgegner in der Folge bewährt hat, desto eher wird man dem
betroffenen Ehegatten das weitere Zusammenleben zumuten können
(RIS-Justiz RS0110446).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823166" w:name="note4"/>
            <w:bookmarkEnd w:id="46823166"/>
            <w:bookmarkStart w:id="7622633241942" w:name="note4"/>
            <w:r>
              <w:rPr>
                <w:rFonts w:ascii="Arial" w:hAnsi="Arial" w:eastAsia="Arial" w:cs="Arial"/>
                <w:b/>
                <w:bCs/>
                <w:color w:val="000000"/>
                <w:position w:val="0"/>
                <w:sz w:val="20"/>
                <w:szCs w:val="20"/>
              </w:rPr>
              <w:t xml:space="preserve">[4]</w:t>
            </w:r>
            <w:bookmarkEnd w:id="76226332419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Antragsberechtigt sind nicht nur die „nahen Angehörigen“,
sondern generell jede Person, der das weitere Zusammenleben durch
eine andere Person unzumutbar gemacht wird. Es werden daher
beispielsweise auch bloße Wohngemeinschaften, zB von Studenten,
geschützt. Erfasst wird nicht nur das Zusammenleben in einer
Wohnung im engeren Sinn, sondern auch in einem Haus oder jedem
sonstigen gemeinsam bewohnten Wohnobjekt. Irrelevant ist, wer
Eigentümer, Mieter oder Nutzungsberechtigter der Wohnung ist, denn
es kann auch der Mieter aus der von ihm gemieteten Wohnung oder der
Wohnungseigentümer aus seiner Eigentumswohnung verwiesen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954944" w:name="note5"/>
            <w:bookmarkEnd w:id="88954944"/>
            <w:bookmarkStart w:id="1739513271075" w:name="note5"/>
            <w:r>
              <w:rPr>
                <w:rFonts w:ascii="Arial" w:hAnsi="Arial" w:eastAsia="Arial" w:cs="Arial"/>
                <w:b/>
                <w:bCs/>
                <w:color w:val="000000"/>
                <w:position w:val="0"/>
                <w:sz w:val="20"/>
                <w:szCs w:val="20"/>
              </w:rPr>
              <w:t xml:space="preserve">[5]</w:t>
            </w:r>
            <w:bookmarkEnd w:id="17395132710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ein Wohnbedarf dringend ist, ist eine Rechtsfrage. Solange
der Antragsgegner nicht das Gegenteil darlegt, ist von einem
dringenden Wohnbedürfnis des Antragstellers auszugehen (OGH 7 Ob
6/13b = Zak 2013/213).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Anders als nach § 382c EO „Allgemeiner Schutz vor Gewalt“
bedarf es keiner Interessenabwägung bei einer EV nach § 382b
EO „Schutz vor Gewalt in Wohnungen“ (7 Ob 127/13x; 7 Ob 134/17g).
Außerdem hat bei einer solchen EV eine Abwägung, ob das
Wohnbedürfnis des Antragstellers oder des Antragsgegners dringender
sei, nicht stattzufinden (7 Ob 77/16y, EFSlg 159.351). Ob dem
Gegner der gefährdeten Partei im Falle einer Wegweisung
Obdachlosigkeit droht, spielt daher keine Rolle (EFSlg 46.869,
52.408).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dringendes Wohnbedürfnis ist dann gegeben, wenn dem
Antragsteller keine gleichwertige andere Wohnmöglichkeit zur
Verfügung steht. Bei der Beurteilung der Gleichwertigkeit der
anderweitigen Unterkunft ist auf die Dauer des Prozesses
abzustellen; eine zur Verfügung stehende Mietwohnung wäre dem
Wohnen im eigenen Haus gleichwertig (EFSlg 58.025).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kommt nicht auf Gleichwertigkeit in tatsächlicher Hinsicht,
sondern das Vorliegen einer rechtlich gesicherten Position an; der
Antragsteller müsste daher bereits im Zeitpunkt der
erstinstanzlichen Beschlussfassung in eine sofort benutzbare
Ersatzwohnung kraft eigenen Rechts ausweichen können (EFSlg
159.338).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Entscheidung, ob ein dringendes Wohnbedürfnis des
Antragstellers vorliegt, ist auch auf die Unterbringungsmöglichkeit
der Kinder bzw auf das Verhalten des Gewalttäters gegenüber den
Kindern Bedacht zu nehmen (EFSlg 52.411).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dringende Wohnbedürfnis fehlt, wenn der Antragsteller aus
eigenem Recht über eine ausreichende und gleichwertige
Ersatzwohnung verfügt. Die fehlende Gleichwertigkeit kann sich auch
aus der Entfernung und der Unzumutbarkeit einer Übersiedlung
ergeben (7 Ob 77/16y).</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gleichwertige Wohnmöglichkeit ist gegeben</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hinsichtlich einer Unterkunft bei den Eltern oder anderen
Verwandten (EFSlg 30.268, 46.872, 49.569, 91.338),</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Aufnahme in einem Altersheim (EFSlg 44.279),</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Aufnahme in einem Frauenhaus oder einer ähnlichen
Einrichtung,</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hinsichtlich einer bloß prekaristischen Unterkunft (EFSlg
94.827),</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Nächtigungsmöglichkeit in einem Dienstzimmer (EFSlg 41.976)
oder</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(bei Lebensmittelpunkt im Inland) nur eine 200 km
entfernte Wohnung im Ausland vorhanden ist (EFSlg 98.678),</w:t>
            </w:r>
          </w:p>
          <w:p>
            <w:pPr>
              <w:numPr>
                <w:ilvl w:val="0"/>
                <w:numId w:val="569780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eine krebskranke Person in ein geerbtes Haus umziehen
müsste, sofern sich dadurch die Entfernung ihres Wohnsitzes von den
vertrauten Behandlungseinrichtungen von ca 55 km auf
140 km vergrößert (OGH 25.5.2016, 7 Ob 77/16y).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356958" w:name="note6"/>
            <w:bookmarkEnd w:id="62356958"/>
            <w:bookmarkStart w:id="2890466744129" w:name="note6"/>
            <w:r>
              <w:rPr>
                <w:rFonts w:ascii="Arial" w:hAnsi="Arial" w:eastAsia="Arial" w:cs="Arial"/>
                <w:b/>
                <w:bCs/>
                <w:color w:val="000000"/>
                <w:position w:val="0"/>
                <w:sz w:val="20"/>
                <w:szCs w:val="20"/>
              </w:rPr>
              <w:t xml:space="preserve">[6]</w:t>
            </w:r>
            <w:bookmarkEnd w:id="28904667441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Erlassung einer einstweiligen Verfügung nach § 382b EO
setzt die Bescheinigung eines konkreten Verhaltens des
Antragsgegners voraus, das Gewaltanwendung im weiteren Sinn
beinhaltet. Die Bescheinigung des bloßen Verdachts, der
Antragsgegner verhalte sich gewalttätig – die Ausübung sexueller
Gewalt ist von diesem Begriff selbstverständlich umfasst – reicht
für die Annahme, das Verhalten des Antragsgegners mache das weitere
Zusammenleben/Zusammentreffen unzumutbar, nicht (RIS-Justiz
RS0124434).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702262" w:name="note7"/>
            <w:bookmarkEnd w:id="38702262"/>
            <w:bookmarkStart w:id="2834641620950" w:name="note7"/>
            <w:r>
              <w:rPr>
                <w:rFonts w:ascii="Arial" w:hAnsi="Arial" w:eastAsia="Arial" w:cs="Arial"/>
                <w:b/>
                <w:bCs/>
                <w:color w:val="000000"/>
                <w:position w:val="0"/>
                <w:sz w:val="20"/>
                <w:szCs w:val="20"/>
              </w:rPr>
              <w:t xml:space="preserve">[7]</w:t>
            </w:r>
            <w:bookmarkEnd w:id="28346416209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EV zum Schutz vor Gewalt in Wohnungen kann gem § 382e
Abs 1 EO längstens für sechs Monate angeordnet werden. Das
Gericht kann zusätzlich die Dauer mit dem rechtskräftigen Abschluss
des anhängigen oder eines binnen der angeordneten Dauer
einzuleitenden Verfahrens in der Hauptsache (zB
Scheidungsverfahren, Aufteilungsverfahren oder ein Verfahren zur
Klärung der Benützungsberechtigung an der
verfahrensgegenständlichen Wohnung) festsetzen.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557279" w:name="note8"/>
            <w:bookmarkEnd w:id="88557279"/>
            <w:bookmarkStart w:id="6253574324765" w:name="note8"/>
            <w:r>
              <w:rPr>
                <w:rFonts w:ascii="Arial" w:hAnsi="Arial" w:eastAsia="Arial" w:cs="Arial"/>
                <w:b/>
                <w:bCs/>
                <w:color w:val="000000"/>
                <w:position w:val="0"/>
                <w:sz w:val="20"/>
                <w:szCs w:val="20"/>
              </w:rPr>
              <w:t xml:space="preserve">[8]</w:t>
            </w:r>
            <w:bookmarkEnd w:id="62535743247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Gegner der gefährdeten Partei ist nicht anzuhören, wenn eine
weitere Gefährdung der gefährdeten Partei droht. Dies hat das
Gericht insbesondere aufgrund des Polizeiberichts einzuschätzen,
sofern die Polizei bereits involviert ist. Das Gericht hat den
Bericht der Sicherheitsbehörde von Amts wegen beizuschaffen hat;
die Sicherheitsbehörden sind verpflichtet, solche Berichte den
Gerichten unverzüglich zu übersenden. Wird der Antrag bei
aufrechtem Betretungs- und Annäherungsverbot gestellt (§ 38a
Abs 10 SPG), so ist dieser dem Antragsgegner unverzüglich
zuzustellen.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Findet doch eine Anhörung statt, kann diese nicht virtuell (vgl
§ 59a EO) erfolgen, wenn die Einvernehmung innerhalb einer
drei Tage unterschreitenden Frist angeordnet wird und sich die
geladene Person dagegen ausspricht (§ 389 Abs 3 EO)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549239" w:name="note9"/>
            <w:bookmarkEnd w:id="31549239"/>
            <w:bookmarkStart w:id="60516155711" w:name="note9"/>
            <w:r>
              <w:rPr>
                <w:rFonts w:ascii="Arial" w:hAnsi="Arial" w:eastAsia="Arial" w:cs="Arial"/>
                <w:b/>
                <w:bCs/>
                <w:color w:val="000000"/>
                <w:position w:val="0"/>
                <w:sz w:val="20"/>
                <w:szCs w:val="20"/>
              </w:rPr>
              <w:t xml:space="preserve">[9]</w:t>
            </w:r>
            <w:bookmarkEnd w:id="605161557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EV zum Schutz vor Gewalt in Wohnungen sind sofort von Amts wegen
oder auf Antrag zu vollziehen. Das Vollstreckungsorgan
(Gerichtsvollzieher bzw Polizei) hat den Antragsgegner aus der
Wohnung zu weisen und die Wohnungsschlüssel abzunehmen. Der/Die
Wohnungsschlüssel werden bei Gericht hinterlegt. Der Gegner der
gefährdeten Partei hat dann noch die Möglichkeit persönliche
Gegenstände aus der Wohnung mitzunehmen.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408926" w:name="note10"/>
            <w:bookmarkEnd w:id="97408926"/>
            <w:bookmarkStart w:id="8628583532134" w:name="note10"/>
            <w:r>
              <w:rPr>
                <w:rFonts w:ascii="Arial" w:hAnsi="Arial" w:eastAsia="Arial" w:cs="Arial"/>
                <w:b/>
                <w:bCs/>
                <w:color w:val="000000"/>
                <w:position w:val="0"/>
                <w:sz w:val="20"/>
                <w:szCs w:val="20"/>
              </w:rPr>
              <w:t xml:space="preserve">[10]</w:t>
            </w:r>
            <w:bookmarkEnd w:id="86285835321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dem Gewaltschutzgesetz 2019 werden bei involvierten
minderjährigen Personen nicht nur der zuständige Kinder- und
Jugendhilfeträger, sondern auch das zuständige Pflegschaftsgericht
unverzüglich verständigt. Daher kann das Pflegschaftsgericht in
einem allenfalls bereits anhängigen Verfahren darauf Bedacht
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884862" w:name="note11"/>
            <w:bookmarkEnd w:id="55884862"/>
            <w:bookmarkStart w:id="8092685134365" w:name="note11"/>
            <w:r>
              <w:rPr>
                <w:rFonts w:ascii="Arial" w:hAnsi="Arial" w:eastAsia="Arial" w:cs="Arial"/>
                <w:b/>
                <w:bCs/>
                <w:color w:val="000000"/>
                <w:position w:val="0"/>
                <w:sz w:val="20"/>
                <w:szCs w:val="20"/>
              </w:rPr>
              <w:t xml:space="preserve">[11]</w:t>
            </w:r>
            <w:bookmarkEnd w:id="80926851343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Bevor abgenommene Schlüssel vom Gericht wieder ausgefolgt
werden, sind die Parteien einzuvernehmen. Sollte sich ergeben, dass
die Verfügungsbefugnis strittig ist, werden die Schlüssel weiter
gerichtlich verwahrt und sind die Parteien auf den streitigen
Rechtsweg zu verweisen. Diese durch das Gewaltschutzgesetz 2019
eingefügte Bestimmung stellt die Grundlage dafür dar, dass
abgenommene Schlüssel auch anderen Personen wieder ausgefolgt
werden können als jenen, den sie abgenommen wurden (zB weil
zwischenzeitig in einem Aufteilungsverfahren eine geänderte
Regelung zur Ehewohnung getroffen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658264" w:name="note12"/>
            <w:bookmarkEnd w:id="54658264"/>
            <w:bookmarkStart w:id="4085463680278" w:name="note12"/>
            <w:r>
              <w:rPr>
                <w:rFonts w:ascii="Arial" w:hAnsi="Arial" w:eastAsia="Arial" w:cs="Arial"/>
                <w:b/>
                <w:bCs/>
                <w:color w:val="000000"/>
                <w:position w:val="0"/>
                <w:sz w:val="20"/>
                <w:szCs w:val="20"/>
              </w:rPr>
              <w:t xml:space="preserve">[12]</w:t>
            </w:r>
            <w:bookmarkEnd w:id="40854636802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der Antragsgegner noch nicht an einer
Gewaltpräventionsberatung nach § 38a Abs 8 SPG
teilgenommen hat, kann ihm das Gericht auf Antrag der gefährdeten
Partei oder von Amts wegen auftragen, binnen fünf Tagen ab
Erlassung der einstweiligen Verfügung eine Beratungsstelle für
Gewaltprävention zur Vereinbarung einer Beratung zu kontaktieren
und aktiv an einer Beratung zur Gewaltprävention teilzunehmen. Die
Beratung hat längstens innerhalb von 14 Tagen ab Kontaktaufnahme
erstmals stattzufinden. Zuwiderhandlungen werden mit Geldstrafe bis
zu EUR 2.500,–, im Wiederholungsfall mit Geldstrafe bis zu
EUR 5.000,–, im Fall der Uneinbringlichkeit mit
Ersatzfreiheitsstrafe bis zu sechs Wochen bestraft.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711951" w:name="note13"/>
            <w:bookmarkEnd w:id="19711951"/>
            <w:bookmarkStart w:id="7505280256549" w:name="note13"/>
            <w:r>
              <w:rPr>
                <w:rFonts w:ascii="Arial" w:hAnsi="Arial" w:eastAsia="Arial" w:cs="Arial"/>
                <w:b/>
                <w:bCs/>
                <w:color w:val="000000"/>
                <w:position w:val="0"/>
                <w:sz w:val="20"/>
                <w:szCs w:val="20"/>
              </w:rPr>
              <w:t xml:space="preserve">[13]</w:t>
            </w:r>
            <w:bookmarkEnd w:id="75052802565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der gerichtlichen Zuständigkeit regelt § 387 EO.
Dabei ist primär darauf abzustellen, ob schon ein Verfahren
anhängig ist. Bei einem anhängigen Verfahren ist das Gericht des
Hauptverfahrens für das Provisorialverfahren zuständig; bei einem
anhängigen Exekutionsverfahren ist es das Exekutionsgericht,
ansonsten richtet sich die Zuständigkeit grundsätzlich nach dem
allgemeinen Gerichtsstand der gefährdeten Partei.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469774" w:name="note14"/>
            <w:bookmarkEnd w:id="84469774"/>
            <w:bookmarkStart w:id="2089469294055" w:name="note14"/>
            <w:r>
              <w:rPr>
                <w:rFonts w:ascii="Arial" w:hAnsi="Arial" w:eastAsia="Arial" w:cs="Arial"/>
                <w:b/>
                <w:bCs/>
                <w:color w:val="000000"/>
                <w:position w:val="0"/>
                <w:sz w:val="20"/>
                <w:szCs w:val="20"/>
              </w:rPr>
              <w:t xml:space="preserve">[14]</w:t>
            </w:r>
            <w:bookmarkEnd w:id="20894692940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Gericht hat gem § 391 Abs 1 Satz 1 EO die Zeit,
für welche es die einstweilige Verfügung bewilligt, von Amts wegen
zu bestimmen, ohne dabei an die Anträge der Parteien gebunden zu
sein; es hat deshalb die Fristbestimmung erforderlichenfalls auch
ohne Antrag der gefährdeten Partei beizusetzen (RS0005363).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862706" w:name="note15"/>
            <w:bookmarkEnd w:id="35862706"/>
            <w:bookmarkStart w:id="404561699913" w:name="note15"/>
            <w:r>
              <w:rPr>
                <w:rFonts w:ascii="Arial" w:hAnsi="Arial" w:eastAsia="Arial" w:cs="Arial"/>
                <w:b/>
                <w:bCs/>
                <w:color w:val="000000"/>
                <w:position w:val="0"/>
                <w:sz w:val="20"/>
                <w:szCs w:val="20"/>
              </w:rPr>
              <w:t xml:space="preserve">[15]</w:t>
            </w:r>
            <w:bookmarkEnd w:id="4045616999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Anordnung eines Betretungs- und Annäherungsverbotes gem
§ 38a SPG gilt seit 01.01.2022 auch ein vorläufiges
Waffenverbot als ausgesprochen; dies unabhängig davon, ob die
Gefährderin oder der Gefährder Waffen, Munition oder
waffenrechtliche Urkunden besitzt.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Behörden sind ermächtigt,</w:t>
            </w:r>
          </w:p>
          <w:p>
            <w:pPr>
              <w:numPr>
                <w:ilvl w:val="0"/>
                <w:numId w:val="2285154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Waffen und Munition sowie</w:t>
            </w:r>
          </w:p>
          <w:p>
            <w:pPr>
              <w:numPr>
                <w:ilvl w:val="0"/>
                <w:numId w:val="2285154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Urkunden (ausgenommen Jagdkarten), die nach diesem Bundesgesetz
zum Erwerb, Besitz, Führen oder zur Einfuhr von Waffen oder
Munition berechtigen,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sicherzustellen. Die Organe haben dem Betroffenen über die
Aussprache des vorläufigen Waffenverbots sowie im Falle einer
Sicherstellung über diese sofort eine Bestätigung auszustellen.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vorläufiges Waffenverbot gem § 13 Abs 1 WaffG gilt
für die Dauer von vier Wochen und zieht ein verwaltungsrechtliches
Verfahren nach sich, im Zuge dessen über die Verhängung eines
(dauerhaften) Waffenverbotes gem § 12 WaffG entschieden
wird.</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5154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97807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50967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586961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564099">
    <w:multiLevelType w:val="hybridMultilevel"/>
    <w:lvl w:ilvl="0" w:tplc="72317762">
      <w:start w:val="1"/>
      <w:numFmt w:val="decimal"/>
      <w:lvlText w:val="%1."/>
      <w:lvlJc w:val="left"/>
      <w:pPr>
        <w:ind w:left="720" w:hanging="360"/>
      </w:pPr>
    </w:lvl>
    <w:lvl w:ilvl="1" w:tplc="72317762" w:tentative="1">
      <w:start w:val="1"/>
      <w:numFmt w:val="lowerLetter"/>
      <w:lvlText w:val="%2."/>
      <w:lvlJc w:val="left"/>
      <w:pPr>
        <w:ind w:left="1440" w:hanging="360"/>
      </w:pPr>
    </w:lvl>
    <w:lvl w:ilvl="2" w:tplc="72317762" w:tentative="1">
      <w:start w:val="1"/>
      <w:numFmt w:val="lowerRoman"/>
      <w:lvlText w:val="%3."/>
      <w:lvlJc w:val="right"/>
      <w:pPr>
        <w:ind w:left="2160" w:hanging="180"/>
      </w:pPr>
    </w:lvl>
    <w:lvl w:ilvl="3" w:tplc="72317762" w:tentative="1">
      <w:start w:val="1"/>
      <w:numFmt w:val="decimal"/>
      <w:lvlText w:val="%4."/>
      <w:lvlJc w:val="left"/>
      <w:pPr>
        <w:ind w:left="2880" w:hanging="360"/>
      </w:pPr>
    </w:lvl>
    <w:lvl w:ilvl="4" w:tplc="72317762" w:tentative="1">
      <w:start w:val="1"/>
      <w:numFmt w:val="lowerLetter"/>
      <w:lvlText w:val="%5."/>
      <w:lvlJc w:val="left"/>
      <w:pPr>
        <w:ind w:left="3600" w:hanging="360"/>
      </w:pPr>
    </w:lvl>
    <w:lvl w:ilvl="5" w:tplc="72317762" w:tentative="1">
      <w:start w:val="1"/>
      <w:numFmt w:val="lowerRoman"/>
      <w:lvlText w:val="%6."/>
      <w:lvlJc w:val="right"/>
      <w:pPr>
        <w:ind w:left="4320" w:hanging="180"/>
      </w:pPr>
    </w:lvl>
    <w:lvl w:ilvl="6" w:tplc="72317762" w:tentative="1">
      <w:start w:val="1"/>
      <w:numFmt w:val="decimal"/>
      <w:lvlText w:val="%7."/>
      <w:lvlJc w:val="left"/>
      <w:pPr>
        <w:ind w:left="5040" w:hanging="360"/>
      </w:pPr>
    </w:lvl>
    <w:lvl w:ilvl="7" w:tplc="72317762" w:tentative="1">
      <w:start w:val="1"/>
      <w:numFmt w:val="lowerLetter"/>
      <w:lvlText w:val="%8."/>
      <w:lvlJc w:val="left"/>
      <w:pPr>
        <w:ind w:left="5760" w:hanging="360"/>
      </w:pPr>
    </w:lvl>
    <w:lvl w:ilvl="8" w:tplc="72317762" w:tentative="1">
      <w:start w:val="1"/>
      <w:numFmt w:val="lowerRoman"/>
      <w:lvlText w:val="%9."/>
      <w:lvlJc w:val="right"/>
      <w:pPr>
        <w:ind w:left="6480" w:hanging="180"/>
      </w:pPr>
    </w:lvl>
  </w:abstractNum>
  <w:abstractNum w:abstractNumId="4558598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883807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564098">
    <w:multiLevelType w:val="hybridMultilevel"/>
    <w:lvl w:ilvl="0" w:tplc="29341209">
      <w:start w:val="1"/>
      <w:numFmt w:val="decimal"/>
      <w:lvlText w:val="%1."/>
      <w:lvlJc w:val="left"/>
      <w:pPr>
        <w:ind w:left="720" w:hanging="360"/>
      </w:pPr>
    </w:lvl>
    <w:lvl w:ilvl="1" w:tplc="29341209" w:tentative="1">
      <w:start w:val="1"/>
      <w:numFmt w:val="lowerLetter"/>
      <w:lvlText w:val="%2."/>
      <w:lvlJc w:val="left"/>
      <w:pPr>
        <w:ind w:left="1440" w:hanging="360"/>
      </w:pPr>
    </w:lvl>
    <w:lvl w:ilvl="2" w:tplc="29341209" w:tentative="1">
      <w:start w:val="1"/>
      <w:numFmt w:val="lowerRoman"/>
      <w:lvlText w:val="%3."/>
      <w:lvlJc w:val="right"/>
      <w:pPr>
        <w:ind w:left="2160" w:hanging="180"/>
      </w:pPr>
    </w:lvl>
    <w:lvl w:ilvl="3" w:tplc="29341209" w:tentative="1">
      <w:start w:val="1"/>
      <w:numFmt w:val="decimal"/>
      <w:lvlText w:val="%4."/>
      <w:lvlJc w:val="left"/>
      <w:pPr>
        <w:ind w:left="2880" w:hanging="360"/>
      </w:pPr>
    </w:lvl>
    <w:lvl w:ilvl="4" w:tplc="29341209" w:tentative="1">
      <w:start w:val="1"/>
      <w:numFmt w:val="lowerLetter"/>
      <w:lvlText w:val="%5."/>
      <w:lvlJc w:val="left"/>
      <w:pPr>
        <w:ind w:left="3600" w:hanging="360"/>
      </w:pPr>
    </w:lvl>
    <w:lvl w:ilvl="5" w:tplc="29341209" w:tentative="1">
      <w:start w:val="1"/>
      <w:numFmt w:val="lowerRoman"/>
      <w:lvlText w:val="%6."/>
      <w:lvlJc w:val="right"/>
      <w:pPr>
        <w:ind w:left="4320" w:hanging="180"/>
      </w:pPr>
    </w:lvl>
    <w:lvl w:ilvl="6" w:tplc="29341209" w:tentative="1">
      <w:start w:val="1"/>
      <w:numFmt w:val="decimal"/>
      <w:lvlText w:val="%7."/>
      <w:lvlJc w:val="left"/>
      <w:pPr>
        <w:ind w:left="5040" w:hanging="360"/>
      </w:pPr>
    </w:lvl>
    <w:lvl w:ilvl="7" w:tplc="29341209" w:tentative="1">
      <w:start w:val="1"/>
      <w:numFmt w:val="lowerLetter"/>
      <w:lvlText w:val="%8."/>
      <w:lvlJc w:val="left"/>
      <w:pPr>
        <w:ind w:left="5760" w:hanging="360"/>
      </w:pPr>
    </w:lvl>
    <w:lvl w:ilvl="8" w:tplc="29341209" w:tentative="1">
      <w:start w:val="1"/>
      <w:numFmt w:val="lowerRoman"/>
      <w:lvlText w:val="%9."/>
      <w:lvlJc w:val="right"/>
      <w:pPr>
        <w:ind w:left="6480" w:hanging="180"/>
      </w:pPr>
    </w:lvl>
  </w:abstractNum>
  <w:abstractNum w:abstractNumId="27564097">
    <w:multiLevelType w:val="hybridMultilevel"/>
    <w:lvl w:ilvl="0" w:tplc="98792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64097">
    <w:abstractNumId w:val="27564097"/>
  </w:num>
  <w:num w:numId="27564098">
    <w:abstractNumId w:val="27564098"/>
  </w:num>
  <w:num w:numId="818838070">
    <w:abstractNumId w:val="818838070"/>
  </w:num>
  <w:num w:numId="455859845">
    <w:abstractNumId w:val="455859845"/>
  </w:num>
  <w:num w:numId="27564099">
    <w:abstractNumId w:val="27564099"/>
  </w:num>
  <w:num w:numId="545869618">
    <w:abstractNumId w:val="545869618"/>
  </w:num>
  <w:num w:numId="335096778">
    <w:abstractNumId w:val="335096778"/>
  </w:num>
  <w:num w:numId="569780773">
    <w:abstractNumId w:val="569780773"/>
  </w:num>
  <w:num w:numId="228515406">
    <w:abstractNumId w:val="228515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4910220" Type="http://schemas.openxmlformats.org/officeDocument/2006/relationships/numbering" Target="numbering.xml"/><Relationship Id="rId9943518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