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1871114" w:name="document"/>
    <w:bookmarkEnd w:id="81871114"/>
    <w:p/>
    <w:p>
      <w:pPr>
        <w:widowControl w:val="on"/>
        <w:pBdr/>
        <w:spacing w:before="0" w:after="280" w:line="240" w:lineRule="auto"/>
        <w:ind w:left="0" w:right="0"/>
        <w:jc w:val="left"/>
      </w:pPr>
      <w:r>
        <w:rPr>
          <w:rFonts w:ascii="Arial" w:hAnsi="Arial" w:eastAsia="Arial" w:cs="Arial"/>
          <w:color w:val="363A40"/>
          <w:sz w:val="24"/>
          <w:szCs w:val="24"/>
        </w:rPr>
        <w:t xml:space="preserve">Dokument-ID: 1029102 | Christine Fidler-Faßmann
- Andrea Futterknecht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Antrag auf Erlass einer einstweiligen Verfügung zur Gewährung
von einstweiligem Kindesunterhalt</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Im Provisorialverfahren können Unterhaltsforderungen nicht bloß
gesichert (§§ 372, 379 EO), sondern auch in Form des
einstweiligen Unterhalts (§ 382 Z 8 lit a EO)
zugesprochen werden, um die drohende Mittellosigkeit des
Unterhaltsberechtigten bis zum Abschluss eines Unterhaltsverfahrens
zu vermeiden. Der Antrag auf Erlass einer einstweiligen Verfügung
zur Gewährung von einstweiligem Unterhalt ist sowohl betreffend
Ehegattenunterhalt als auch Kindesunterhalt möglich.</w:t>
      </w:r>
    </w:p>
    <w:p>
      <w:pPr>
        <w:widowControl w:val="on"/>
        <w:pBdr/>
        <w:spacing w:before="140" w:after="240" w:line="288" w:lineRule="auto"/>
        <w:ind w:left="0" w:right="0"/>
        <w:jc w:val="left"/>
      </w:pPr>
      <w:r>
        <w:rPr>
          <w:rFonts w:ascii="Arial" w:hAnsi="Arial" w:eastAsia="Arial" w:cs="Arial"/>
          <w:color w:val="000000"/>
          <w:sz w:val="20"/>
          <w:szCs w:val="20"/>
        </w:rPr>
        <w:t xml:space="preserve">Beim einstweiligen Unterhalt nach § 382 Z 8 lit a
EO sind die materiellrechtlichen Voraussetzungen für die Gewährung
des Unterhaltsanspruchs im Haupt- und Provisorialverfahren ident.
Die einstweilige Verfügung bildet einen Exekutionstitel, mit dem
die einstweilig festgesetzten Unterhaltsleistungen eingetrieben
werden können. Für minderjährige Kinder steht alternativ der noch
einfacher und rascher zu erlangende vorläufige Unterhalt
(§ 382a EO) zur Verfügung.</w:t>
      </w:r>
    </w:p>
    <w:p>
      <w:r>
        <w:pict>
          <v:rect id="_x0000_i1026" style="width:0;height:1.5pt" o:hralign="center" o:hrstd="t" o:hr="t" o:hrnoshade="t" fillcolor="#a0a0a0" stroked="f"/>
        </w:pic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Innere Stadt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w:t>
      </w:r>
    </w:p>
    <w:tbl>
      <w:tblPr>
        <w:tblStyle w:val="NormalTablePHPDOCX"/>
        <w:tblW w:w="5000" w:type="pct"/>
        <w:tblInd w:w="0" w:type="auto"/>
        <w:tblBorders>
          <w:top w:val="nil" w:color="363A40" w:sz="0"/>
          <w:left w:val="nil" w:color="363A40" w:sz="0"/>
          <w:bottom w:val="nil" w:color="363A40" w:sz="0"/>
          <w:right w:val="nil" w:color="363A40" w:sz="0"/>
        </w:tblBorders>
      </w:tblPr>
      <w:tblGrid>
        <w:gridCol w:w="4065"/>
        <w:gridCol w:w="8025"/>
      </w:tblGrid>
      <w:tr>
        <w:trPr>
          <w:trHeight w:val="0" w:hRule="atLeast"/>
        </w:trPr>
        <w:tc>
          <w:tcPr>
            <w:tcW w:w="406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Mj Kind:</w:t>
            </w:r>
          </w:p>
        </w:tc>
        <w:tc>
          <w:tcPr>
            <w:tcW w:w="802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 B, geb 01.01.2006</w:t>
            </w:r>
            <w:r>
              <w:rPr>
                <w:rFonts w:ascii="Arial" w:hAnsi="Arial" w:eastAsia="Arial" w:cs="Arial"/>
                <w:color w:val="000000"/>
                <w:position w:val="0"/>
                <w:sz w:val="20"/>
                <w:szCs w:val="20"/>
                <w:shd w:val="clear" w:color="auto" w:fill="FFFFFF"/>
              </w:rPr>
              <w:br/>
              <w:t xml:space="preserve">C-Gasse 1/14</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406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 die Kindesmutter:</w:t>
            </w:r>
          </w:p>
        </w:tc>
        <w:tc>
          <w:tcPr>
            <w:tcW w:w="802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 B</w:t>
            </w:r>
            <w:r>
              <w:rPr>
                <w:rFonts w:ascii="Arial" w:hAnsi="Arial" w:eastAsia="Arial" w:cs="Arial"/>
                <w:color w:val="000000"/>
                <w:position w:val="0"/>
                <w:sz w:val="20"/>
                <w:szCs w:val="20"/>
                <w:shd w:val="clear" w:color="auto" w:fill="FFFFFF"/>
              </w:rPr>
              <w:br/>
              <w:t xml:space="preserve">C-Gasse 1/14</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406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802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 Q</w:t>
            </w:r>
            <w:r>
              <w:rPr>
                <w:rFonts w:ascii="Arial" w:hAnsi="Arial" w:eastAsia="Arial" w:cs="Arial"/>
                <w:color w:val="000000"/>
                <w:position w:val="0"/>
                <w:sz w:val="20"/>
                <w:szCs w:val="20"/>
                <w:shd w:val="clear" w:color="auto" w:fill="FFFFFF"/>
              </w:rPr>
              <w:br/>
              <w:t xml:space="preserve">Rechtsanwalt</w:t>
            </w:r>
            <w:r>
              <w:rPr>
                <w:rFonts w:ascii="Arial" w:hAnsi="Arial" w:eastAsia="Arial" w:cs="Arial"/>
                <w:color w:val="000000"/>
                <w:position w:val="0"/>
                <w:sz w:val="20"/>
                <w:szCs w:val="20"/>
                <w:shd w:val="clear" w:color="auto" w:fill="FFFFFF"/>
              </w:rPr>
              <w:br/>
              <w:t xml:space="preserve">D-Platz 1</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406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Kindesvater:</w:t>
            </w:r>
          </w:p>
        </w:tc>
        <w:tc>
          <w:tcPr>
            <w:tcW w:w="802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 G</w:t>
            </w:r>
            <w:r>
              <w:rPr>
                <w:rFonts w:ascii="Arial" w:hAnsi="Arial" w:eastAsia="Arial" w:cs="Arial"/>
                <w:color w:val="000000"/>
                <w:position w:val="0"/>
                <w:sz w:val="20"/>
                <w:szCs w:val="20"/>
                <w:shd w:val="clear" w:color="auto" w:fill="FFFFFF"/>
              </w:rPr>
              <w:br/>
              <w:t xml:space="preserve">H-Gasse 2</w:t>
            </w:r>
            <w:r>
              <w:rPr>
                <w:rFonts w:ascii="Arial" w:hAnsi="Arial" w:eastAsia="Arial" w:cs="Arial"/>
                <w:color w:val="000000"/>
                <w:position w:val="0"/>
                <w:sz w:val="20"/>
                <w:szCs w:val="20"/>
                <w:shd w:val="clear" w:color="auto" w:fill="FFFFFF"/>
              </w:rPr>
              <w:br/>
              <w:t xml:space="preserve">1010 Wien</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 auf einstweiligen
Kindesunterhalt</w:t>
      </w:r>
    </w:p>
    <w:p>
      <w:pPr>
        <w:widowControl w:val="on"/>
        <w:pBdr/>
        <w:spacing w:before="140" w:after="240" w:line="288" w:lineRule="auto"/>
        <w:ind w:left="0" w:right="0"/>
        <w:jc w:val="left"/>
      </w:pPr>
      <w:r>
        <w:rPr>
          <w:rFonts w:ascii="Arial" w:hAnsi="Arial" w:eastAsia="Arial" w:cs="Arial"/>
          <w:color w:val="000000"/>
          <w:sz w:val="20"/>
          <w:szCs w:val="20"/>
        </w:rPr>
        <w:t xml:space="preserve">Über den Kindesvater wurde vom Stadtpolizeikommando Innere Stadt
Wien zu GZ: PAD/19/123 am 02.03.20… ab 21:00 Uhr ein
Betretungsverbot betreffend 1010 Wien, C-Gasse 1/14 sowie das
gesamte Stiegenhaus verhängt.</w:t>
      </w:r>
    </w:p>
    <w:p>
      <w:pPr>
        <w:widowControl w:val="on"/>
        <w:pBdr/>
        <w:spacing w:before="140" w:after="240" w:line="288" w:lineRule="auto"/>
        <w:ind w:left="0" w:right="0"/>
        <w:jc w:val="left"/>
      </w:pPr>
      <w:r>
        <w:rPr>
          <w:rFonts w:ascii="Arial" w:hAnsi="Arial" w:eastAsia="Arial" w:cs="Arial"/>
          <w:color w:val="000000"/>
          <w:sz w:val="20"/>
          <w:szCs w:val="20"/>
        </w:rPr>
        <w:t xml:space="preserve">Mittels einstweiliger Verfügung dieses Gerichtes vom 12.03.20…,
GZ 1 C 200/19x, wurde dem Kindesvater Rückkehr und Aufenthalt in
die vorgenannte Wohnung sowie das Stiegenhaus für die Dauer von
drei Monaten verboten.</w:t>
      </w:r>
    </w:p>
    <w:p>
      <w:pPr>
        <w:widowControl w:val="on"/>
        <w:pBdr/>
        <w:spacing w:before="140" w:after="240" w:line="288" w:lineRule="auto"/>
        <w:ind w:left="0" w:right="0"/>
        <w:jc w:val="left"/>
      </w:pPr>
      <w:r>
        <w:rPr>
          <w:rFonts w:ascii="Arial" w:hAnsi="Arial" w:eastAsia="Arial" w:cs="Arial"/>
          <w:color w:val="000000"/>
          <w:sz w:val="20"/>
          <w:szCs w:val="20"/>
        </w:rPr>
        <w:t xml:space="preserve">Der Kindesvater lebt somit seit dem 02.03.20… nicht mehr im
gemeinsamen Haushalt. Seitdem befindet sich das mj Kind in Pflege
und Erziehung der Kindesmutter. Der Kindesvater leistet weder
Natural- noch Geldunterhalt. Es liegt somit eine
Unterhaltsverletzung vor.</w:t>
      </w:r>
    </w:p>
    <w:p>
      <w:pPr>
        <w:widowControl w:val="on"/>
        <w:pBdr/>
        <w:spacing w:before="140" w:after="240" w:line="288" w:lineRule="auto"/>
        <w:ind w:left="0" w:right="0"/>
        <w:jc w:val="left"/>
      </w:pPr>
      <w:r>
        <w:rPr>
          <w:rFonts w:ascii="Arial" w:hAnsi="Arial" w:eastAsia="Arial" w:cs="Arial"/>
          <w:color w:val="000000"/>
          <w:sz w:val="20"/>
          <w:szCs w:val="20"/>
        </w:rPr>
        <w:t xml:space="preserve">Der Kindesvater hat ein durchschnittliches monatliches
Nettoeinkommen von EUR 2.300,–, inklusive anteiligem Urlaubs-
und Weihnachtsgeld. Der Kindesvater hat keine weiteren
Sorgepflichten.</w:t>
      </w:r>
    </w:p>
    <w:p>
      <w:pPr>
        <w:widowControl w:val="on"/>
        <w:pBdr/>
        <w:spacing w:before="140" w:after="240" w:line="288" w:lineRule="auto"/>
        <w:ind w:left="0" w:right="0"/>
        <w:jc w:val="left"/>
      </w:pPr>
      <w:r>
        <w:rPr>
          <w:rFonts w:ascii="Arial" w:hAnsi="Arial" w:eastAsia="Arial" w:cs="Arial"/>
          <w:color w:val="000000"/>
          <w:sz w:val="20"/>
          <w:szCs w:val="20"/>
        </w:rPr>
        <w:t xml:space="preserve">Anhand der Prozentsatzmethode bemisst sich der Kindesunterhalt
mit 20 % des durchschnittlichen monatlichen Nettoeinkommens.
Unter Berücksichtigung der Transferleistung ergibt sich ein
Unterhaltsanspruch in Höhe von EUR 425,–.</w:t>
      </w:r>
    </w:p>
    <w:p>
      <w:pPr>
        <w:widowControl w:val="on"/>
        <w:pBdr/>
        <w:spacing w:before="140" w:after="240" w:line="288" w:lineRule="auto"/>
        <w:ind w:left="0" w:right="0"/>
        <w:jc w:val="left"/>
      </w:pPr>
      <w:r>
        <w:rPr>
          <w:rFonts w:ascii="Arial" w:hAnsi="Arial" w:eastAsia="Arial" w:cs="Arial"/>
          <w:color w:val="000000"/>
          <w:sz w:val="20"/>
          <w:szCs w:val="20"/>
        </w:rPr>
        <w:t xml:space="preserve">Ein Antrag auf Festsetzung der Unterhaltspflicht des
Kindesvaters gegenüber dem mj Kind ab 02.03.20… in Höhe von jeweils
monatlich EUR 425,– wurde am 06.04.20… – gleichzeitig mit dem
Antrag auf einstweiligen Unterhalt – eingebracht.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2895"/>
        <w:gridCol w:w="9195"/>
      </w:tblGrid>
      <w:tr>
        <w:trPr>
          <w:trHeight w:val="0" w:hRule="atLeast"/>
        </w:trPr>
        <w:tc>
          <w:tcPr>
            <w:tcW w:w="289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Bescheinigungsmittel:</w:t>
            </w:r>
          </w:p>
        </w:tc>
        <w:tc>
          <w:tcPr>
            <w:tcW w:w="919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Bericht des Stadtpolizeikommandos zu PAD/19/123</w:t>
            </w:r>
            <w:r>
              <w:rPr>
                <w:rFonts w:ascii="Arial" w:hAnsi="Arial" w:eastAsia="Arial" w:cs="Arial"/>
                <w:color w:val="000000"/>
                <w:position w:val="0"/>
                <w:sz w:val="20"/>
                <w:szCs w:val="20"/>
                <w:shd w:val="clear" w:color="auto" w:fill="FFFFFF"/>
              </w:rPr>
              <w:br/>
              <w:t xml:space="preserve">Geburtsurkunde des mj Kindes</w:t>
            </w:r>
            <w:r>
              <w:rPr>
                <w:rFonts w:ascii="Arial" w:hAnsi="Arial" w:eastAsia="Arial" w:cs="Arial"/>
                <w:color w:val="000000"/>
                <w:position w:val="0"/>
                <w:sz w:val="20"/>
                <w:szCs w:val="20"/>
                <w:shd w:val="clear" w:color="auto" w:fill="FFFFFF"/>
              </w:rPr>
              <w:br/>
              <w:t xml:space="preserve">Jahreslohnzettel 2018 des Kindesvaters</w:t>
            </w:r>
          </w:p>
        </w:tc>
      </w:tr>
    </w:tbl>
    <w:p>
      <w:pPr>
        <w:widowControl w:val="on"/>
        <w:pBdr/>
        <w:spacing w:before="140" w:after="240" w:line="288" w:lineRule="auto"/>
        <w:ind w:left="0" w:right="0"/>
        <w:jc w:val="left"/>
      </w:pPr>
      <w:r>
        <w:rPr>
          <w:rFonts w:ascii="Arial" w:hAnsi="Arial" w:eastAsia="Arial" w:cs="Arial"/>
          <w:color w:val="000000"/>
          <w:sz w:val="20"/>
          <w:szCs w:val="20"/>
        </w:rPr>
        <w:t xml:space="preserve">Es wird daher folgender Beschluss beantragt:</w:t>
      </w:r>
    </w:p>
    <w:p>
      <w:pPr>
        <w:numPr>
          <w:ilvl w:val="0"/>
          <w:numId w:val="6326883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Kindesvater ist verpflichtet, zum Unterhalt des mj Kindes
ab 06.04.20… bis auf weiteres, längstens jedoch bis zur
rechtskräftigen Beendigung des mit Antrag vom 06.04.20…
eingeleiteten Unterhaltsfestsetzungsverfahrens, in Höhe von
monatlich EUR 425,–, zu Handen der Kindesmutter, bei sonstiger
Exekution zu bezahlen.</w:t>
      </w:r>
    </w:p>
    <w:p>
      <w:pPr>
        <w:numPr>
          <w:ilvl w:val="0"/>
          <w:numId w:val="6326883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mit Zustellung dieser einstweiligen Verfügung fällig
gewordenen Beträge sind erstmals sofort nach der Zustellung dieses
Beschlusses, die zukünftig fällig werdenden Beträge jeweils am
Monatsersten im Voraus bei sonstiger Exekution zu bezahlen.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3762706" w:name="note1"/>
            <w:bookmarkEnd w:id="13762706"/>
            <w:bookmarkStart w:id="6091475459067" w:name="note1"/>
            <w:r>
              <w:rPr>
                <w:rFonts w:ascii="Arial" w:hAnsi="Arial" w:eastAsia="Arial" w:cs="Arial"/>
                <w:b/>
                <w:bCs/>
                <w:color w:val="000000"/>
                <w:position w:val="0"/>
                <w:sz w:val="20"/>
                <w:szCs w:val="20"/>
              </w:rPr>
              <w:t xml:space="preserve">[1]</w:t>
            </w:r>
            <w:bookmarkEnd w:id="609147545906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Sachlich ist das Bezirksgericht zuständig. Unterhalt sowohl
minderjähriger als auch volljähriger Kinder fallen in die
Zuständigkeit des Rechtspflegers; Ehegattenunterhalt fällt in die
richterliche Zuständigkeit.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Örtlich ist jenes Gericht zuständig, in welchem das
unterhaltsberechtigte Kind seinen gewöhnlichen Aufenthalt bzw
Wohnsitz hat. Beim Ehegattenunterhalt ist jenes Bezirksgericht
örtlich zuständig, in dessen Sprengel die Ehegatten ihren
gemeinsamen gewöhnlichen Aufenthalt haben oder zuletzt gehabt
haben.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3828459" w:name="note2"/>
            <w:bookmarkEnd w:id="93828459"/>
            <w:bookmarkStart w:id="3636952992445" w:name="note2"/>
            <w:r>
              <w:rPr>
                <w:rFonts w:ascii="Arial" w:hAnsi="Arial" w:eastAsia="Arial" w:cs="Arial"/>
                <w:b/>
                <w:bCs/>
                <w:color w:val="000000"/>
                <w:position w:val="0"/>
                <w:sz w:val="20"/>
                <w:szCs w:val="20"/>
              </w:rPr>
              <w:t xml:space="preserve">[2]</w:t>
            </w:r>
            <w:bookmarkEnd w:id="363695299244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Voraussetzung für den Antrag auf einstweiligen Unterhalt
ist die Verletzung der Unterhaltspflicht zum Zeitpunkt der
Antragstellung (oder spätestens bis zum Entscheidungszeitpunkt).
Eine Verletzung der Unterhaltspflicht liegt dann vor, wenn die
freiwillig gewährten Geld- oder Naturalleistungen des
Unterhaltspflichtigen den gesetzlichen Unterhaltsanspruch nicht
decken. Die Bescheinigung der Unterhaltsverletzung reicht für die
sonst bei einstweiligen Verfügungen erforderliche
Gefährdungsbescheinigung aus.</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4905394" w:name="note3"/>
            <w:bookmarkEnd w:id="74905394"/>
            <w:bookmarkStart w:id="7801010364326" w:name="note3"/>
            <w:r>
              <w:rPr>
                <w:rFonts w:ascii="Arial" w:hAnsi="Arial" w:eastAsia="Arial" w:cs="Arial"/>
                <w:b/>
                <w:bCs/>
                <w:color w:val="000000"/>
                <w:position w:val="0"/>
                <w:sz w:val="20"/>
                <w:szCs w:val="20"/>
              </w:rPr>
              <w:t xml:space="preserve">[3]</w:t>
            </w:r>
            <w:bookmarkEnd w:id="780101036432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die Bestimmung eines von einem Ehegatten dem anderen zu
leistenden einstweiligen Unterhalts im Zusammenhang mit einem
Verfahren auf Scheidung der Ehe bedarf es keiner Unterhaltsklage;
auch ist es irrelevant, vom wem die Scheidung begehrt wurde. Der
antragstellende Ehegatte braucht nur das Bestehen des Anspruches
und die Verletzung der Unterhaltspflicht, nicht aber auch das
Bestehen einer Gefahr der Nichterfüllung des Anspruches zu
bescheinigen (RS0005940).</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2661902" w:name="note4"/>
            <w:bookmarkEnd w:id="52661902"/>
            <w:bookmarkStart w:id="4384917849141" w:name="note4"/>
            <w:r>
              <w:rPr>
                <w:rFonts w:ascii="Arial" w:hAnsi="Arial" w:eastAsia="Arial" w:cs="Arial"/>
                <w:b/>
                <w:bCs/>
                <w:color w:val="000000"/>
                <w:position w:val="0"/>
                <w:sz w:val="20"/>
                <w:szCs w:val="20"/>
              </w:rPr>
              <w:t xml:space="preserve">[4]</w:t>
            </w:r>
            <w:bookmarkEnd w:id="438491784914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Unterhaltsverfügung nach § 382 Abs 1 Z 8
lit a EO bedarf nicht der Bescheinigung einer Gefährdung nach
§ 381 EO. Damit ist aber von einer Gefährdung als sachlicher
Voraussetzung der Unterhaltsverfügung nicht gänzlich abgesehen,
sondern es wird ein spezifischer Nachteil für die Person des
Antragstellers verlangt. Dieser liegt darin, dass die Lebenshaltung
gefährdet ist, weil die rechtmäßig zustehenden Unterhaltsleistungen
nicht ordnungsgemäß erbracht werden. Voraussetzung für die
Bewilligung einer einstweiligen Verfügung nach § 382
Abs 1 Z 8 lit a EO ist daher die Verletzung der
Unterhaltspflicht im Antragszeitpunkt oder doch zumindest bis zum
Zeitpunkt der Entscheidung über den Antrag (RS0114824).</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4129723" w:name="note5"/>
            <w:bookmarkEnd w:id="74129723"/>
            <w:bookmarkStart w:id="6792249431991" w:name="note5"/>
            <w:r>
              <w:rPr>
                <w:rFonts w:ascii="Arial" w:hAnsi="Arial" w:eastAsia="Arial" w:cs="Arial"/>
                <w:b/>
                <w:bCs/>
                <w:color w:val="000000"/>
                <w:position w:val="0"/>
                <w:sz w:val="20"/>
                <w:szCs w:val="20"/>
              </w:rPr>
              <w:t xml:space="preserve">[5]</w:t>
            </w:r>
            <w:bookmarkEnd w:id="679224943199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weitere Voraussetzung ist das Bestehen einer gesetzlichen
Unterhaltspflicht. Es sind somit die materiellrechtlichen
Voraussetzungen des Unterhaltsanspruchs darzulegen. Bei einem
unehelichen Kind muss die Vaterschaft festgestellt sein. Die
einstweilige Verfügung nach § 382 Z 8 lit a EO steht
auch volljährigen, aber noch nicht selbstständig erhaltungsfähigen
Kindern zu.</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7320935" w:name="note6"/>
            <w:bookmarkEnd w:id="87320935"/>
            <w:bookmarkStart w:id="4042171348046" w:name="note6"/>
            <w:r>
              <w:rPr>
                <w:rFonts w:ascii="Arial" w:hAnsi="Arial" w:eastAsia="Arial" w:cs="Arial"/>
                <w:b/>
                <w:bCs/>
                <w:color w:val="000000"/>
                <w:position w:val="0"/>
                <w:sz w:val="20"/>
                <w:szCs w:val="20"/>
              </w:rPr>
              <w:t xml:space="preserve">[6]</w:t>
            </w:r>
            <w:bookmarkEnd w:id="404217134804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der Höhe nach unterscheidet sich der einstweilige Unterhalt
nicht vom gesetzlichen Unterhalt. Die Rechtsprechung lehnt eine
Beschränkung bloß auf den notwendigen Unterhalt ab. Auch ein
Sonderbedarf des Unterhaltsberechtigten kann im Rahmen des
einstweiligen Unterhalts geltend gemacht werden. Anders als beim
laufenden Lebensbedarf kann selbst ein Sonderbedarf, der schon vor
Antragstellung entstanden ist, zugesprochen werden, sofern die
Kosten vom Unterhaltsberechtigten bloß noch nicht beglichen worden
sind.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die Deckung notwendiger Prozesskosten zählt zum Unterhalt,
sie sind daher aus dem Unterhaltsanspruch nach § 94 ABGB zu
decken und nicht als gesonderter Vorschuss außerhalb des
einstweiligen Unterhalts zuzusprechen. Wenn sich allerdings aus der
Prozessgefahr ein besonderer Unterhaltsbedarf ergibt, den der
Unterhaltsberechtigte aus den laufenden Unterhaltsbeiträgen nicht
decken kann, ist ein Prozesskostenvorschuss zuzusprechen, sofern
dies dem Unterhaltspflichtigen neben der laufenden
Unterhaltsleistung zumutbar ist.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0632497" w:name="note7"/>
            <w:bookmarkEnd w:id="20632497"/>
            <w:bookmarkStart w:id="4501225041612" w:name="note7"/>
            <w:r>
              <w:rPr>
                <w:rFonts w:ascii="Arial" w:hAnsi="Arial" w:eastAsia="Arial" w:cs="Arial"/>
                <w:b/>
                <w:bCs/>
                <w:color w:val="000000"/>
                <w:position w:val="0"/>
                <w:sz w:val="20"/>
                <w:szCs w:val="20"/>
              </w:rPr>
              <w:t xml:space="preserve">[7]</w:t>
            </w:r>
            <w:bookmarkEnd w:id="450122504161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einstweilige Unterhalt kann erst ab Antragstellung gewährt
werden (nicht rückwirkend). Der Anspruch auf einstweiligen
Unterhalt endet mit dem Abschluss des Hauptverfahrens. Für den
Zeitraum zwischen Antragstellung und Rechtskraft des Beschlusses
über den einstweiligen Unterhalt können gesetzliche Verzugszinsen
beantragt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8977513" w:name="note8"/>
            <w:bookmarkEnd w:id="18977513"/>
            <w:bookmarkStart w:id="1260967884169" w:name="note8"/>
            <w:r>
              <w:rPr>
                <w:rFonts w:ascii="Arial" w:hAnsi="Arial" w:eastAsia="Arial" w:cs="Arial"/>
                <w:b/>
                <w:bCs/>
                <w:color w:val="000000"/>
                <w:position w:val="0"/>
                <w:sz w:val="20"/>
                <w:szCs w:val="20"/>
              </w:rPr>
              <w:t xml:space="preserve">[8]</w:t>
            </w:r>
            <w:bookmarkEnd w:id="126096788416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Zum Zeitpunkt der Antragstellung im Provisorialverfahren muss
ein Hauptverfahren bereits anhängig sein oder – binnen einer vom
Gericht gesetzten Frist – anhängig gemacht werden (dies kann neben
einem Unterhaltsverfahren auch ein Scheidungsverfahren sein). Bei
ehelichen Kindern kann das Hauptverfahren somit ein Verfahren sein,
an dem das Kind gar nicht als Partei beteiligt ist.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5394955" w:name="note9"/>
            <w:bookmarkEnd w:id="55394955"/>
            <w:bookmarkStart w:id="6057401954199" w:name="note9"/>
            <w:r>
              <w:rPr>
                <w:rFonts w:ascii="Arial" w:hAnsi="Arial" w:eastAsia="Arial" w:cs="Arial"/>
                <w:b/>
                <w:bCs/>
                <w:color w:val="000000"/>
                <w:position w:val="0"/>
                <w:sz w:val="20"/>
                <w:szCs w:val="20"/>
              </w:rPr>
              <w:t xml:space="preserve">[9]</w:t>
            </w:r>
            <w:bookmarkEnd w:id="605740195419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einstweilige Unterhalt kann schon vor Anhängigkeit des
Hauptverfahrens beantragt und gewährt werden. Das Gericht hat der
gefährdeten Partei dann gem § 391 Abs 2 EO die
Rechtfertigung in einem Hauptverfahren binnen angemessener Frist
aufzutragen.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1436941" w:name="note10"/>
            <w:bookmarkEnd w:id="91436941"/>
            <w:bookmarkStart w:id="9879416359003" w:name="note10"/>
            <w:r>
              <w:rPr>
                <w:rFonts w:ascii="Arial" w:hAnsi="Arial" w:eastAsia="Arial" w:cs="Arial"/>
                <w:b/>
                <w:bCs/>
                <w:color w:val="000000"/>
                <w:position w:val="0"/>
                <w:sz w:val="20"/>
                <w:szCs w:val="20"/>
              </w:rPr>
              <w:t xml:space="preserve">[10]</w:t>
            </w:r>
            <w:bookmarkEnd w:id="987941635900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einstweilige Unterhalt kann nur zwischen einem (minder- oder
volljährigen) Kind und dem unterhaltspflichtigen Elternteil,
zwischen Ehegatten, zwischen geschiedenen Ehegatten und zwischen
eingetragenen Partnern (während und nach Beendigung der
Partnerschaft) begehrt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0661887" w:name="note11"/>
            <w:bookmarkEnd w:id="80661887"/>
            <w:bookmarkStart w:id="2967891417287" w:name="note11"/>
            <w:r>
              <w:rPr>
                <w:rFonts w:ascii="Arial" w:hAnsi="Arial" w:eastAsia="Arial" w:cs="Arial"/>
                <w:b/>
                <w:bCs/>
                <w:color w:val="000000"/>
                <w:position w:val="0"/>
                <w:sz w:val="20"/>
                <w:szCs w:val="20"/>
              </w:rPr>
              <w:t xml:space="preserve">[11]</w:t>
            </w:r>
            <w:bookmarkEnd w:id="296789141728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Obwohl es sich um ein Provisorialverfahren handelt, steht der
einstweilige Unterhalt dem Unterhaltsberechtigten in der Regel auch
endgültig zu. Eine Rückforderung ist nur auf
bereicherungsrechtlicher Grundlage möglich und setzt Bösgläubigkeit
des Unterhaltsberechtigten voraus.</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965210" w:name="note12"/>
            <w:bookmarkEnd w:id="9965210"/>
            <w:bookmarkStart w:id="5914683114240" w:name="note12"/>
            <w:r>
              <w:rPr>
                <w:rFonts w:ascii="Arial" w:hAnsi="Arial" w:eastAsia="Arial" w:cs="Arial"/>
                <w:b/>
                <w:bCs/>
                <w:color w:val="000000"/>
                <w:position w:val="0"/>
                <w:sz w:val="20"/>
                <w:szCs w:val="20"/>
              </w:rPr>
              <w:t xml:space="preserve">[12]</w:t>
            </w:r>
            <w:bookmarkEnd w:id="591468311424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Provisorialverfahren muss der Anspruch lediglich bescheinigt
werden und werden nur parate Bescheinigungsmittel der Parteien
berücksichtigt. Dem Unterhaltsverpflichteten muss die Gelegenheit
zur Äußerung gegeben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6034701" w:name="note13"/>
            <w:bookmarkEnd w:id="56034701"/>
            <w:bookmarkStart w:id="5043621139359" w:name="note13"/>
            <w:r>
              <w:rPr>
                <w:rFonts w:ascii="Arial" w:hAnsi="Arial" w:eastAsia="Arial" w:cs="Arial"/>
                <w:b/>
                <w:bCs/>
                <w:color w:val="000000"/>
                <w:position w:val="0"/>
                <w:sz w:val="20"/>
                <w:szCs w:val="20"/>
              </w:rPr>
              <w:t xml:space="preserve">[13]</w:t>
            </w:r>
            <w:bookmarkEnd w:id="504362113935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einstweilige Verfügung stellt einen Exekutionstitel dar; der
einstweilige Unterhalt kann daher auch im Exekutionsverfahren
einbringlich gemacht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2514422" w:name="note14"/>
            <w:bookmarkEnd w:id="82514422"/>
            <w:bookmarkStart w:id="6943771676285" w:name="note14"/>
            <w:r>
              <w:rPr>
                <w:rFonts w:ascii="Arial" w:hAnsi="Arial" w:eastAsia="Arial" w:cs="Arial"/>
                <w:b/>
                <w:bCs/>
                <w:color w:val="000000"/>
                <w:position w:val="0"/>
                <w:sz w:val="20"/>
                <w:szCs w:val="20"/>
              </w:rPr>
              <w:t xml:space="preserve">[14]</w:t>
            </w:r>
            <w:bookmarkEnd w:id="694377167628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Dem Unterhaltsberechtigten können in der Verfügung auch
gesetzliche Verzugszinsen für die zwischen Antragstellung und
Rechtskraft dieses Beschlusses fällig gewordenen Unterhaltsbeiträge
zugesprochen werden.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268839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9947820">
    <w:multiLevelType w:val="hybridMultilevel"/>
    <w:lvl w:ilvl="0" w:tplc="24502100">
      <w:start w:val="1"/>
      <w:numFmt w:val="decimal"/>
      <w:lvlText w:val="%1."/>
      <w:lvlJc w:val="left"/>
      <w:pPr>
        <w:ind w:left="720" w:hanging="360"/>
      </w:pPr>
    </w:lvl>
    <w:lvl w:ilvl="1" w:tplc="24502100" w:tentative="1">
      <w:start w:val="1"/>
      <w:numFmt w:val="lowerLetter"/>
      <w:lvlText w:val="%2."/>
      <w:lvlJc w:val="left"/>
      <w:pPr>
        <w:ind w:left="1440" w:hanging="360"/>
      </w:pPr>
    </w:lvl>
    <w:lvl w:ilvl="2" w:tplc="24502100" w:tentative="1">
      <w:start w:val="1"/>
      <w:numFmt w:val="lowerRoman"/>
      <w:lvlText w:val="%3."/>
      <w:lvlJc w:val="right"/>
      <w:pPr>
        <w:ind w:left="2160" w:hanging="180"/>
      </w:pPr>
    </w:lvl>
    <w:lvl w:ilvl="3" w:tplc="24502100" w:tentative="1">
      <w:start w:val="1"/>
      <w:numFmt w:val="decimal"/>
      <w:lvlText w:val="%4."/>
      <w:lvlJc w:val="left"/>
      <w:pPr>
        <w:ind w:left="2880" w:hanging="360"/>
      </w:pPr>
    </w:lvl>
    <w:lvl w:ilvl="4" w:tplc="24502100" w:tentative="1">
      <w:start w:val="1"/>
      <w:numFmt w:val="lowerLetter"/>
      <w:lvlText w:val="%5."/>
      <w:lvlJc w:val="left"/>
      <w:pPr>
        <w:ind w:left="3600" w:hanging="360"/>
      </w:pPr>
    </w:lvl>
    <w:lvl w:ilvl="5" w:tplc="24502100" w:tentative="1">
      <w:start w:val="1"/>
      <w:numFmt w:val="lowerRoman"/>
      <w:lvlText w:val="%6."/>
      <w:lvlJc w:val="right"/>
      <w:pPr>
        <w:ind w:left="4320" w:hanging="180"/>
      </w:pPr>
    </w:lvl>
    <w:lvl w:ilvl="6" w:tplc="24502100" w:tentative="1">
      <w:start w:val="1"/>
      <w:numFmt w:val="decimal"/>
      <w:lvlText w:val="%7."/>
      <w:lvlJc w:val="left"/>
      <w:pPr>
        <w:ind w:left="5040" w:hanging="360"/>
      </w:pPr>
    </w:lvl>
    <w:lvl w:ilvl="7" w:tplc="24502100" w:tentative="1">
      <w:start w:val="1"/>
      <w:numFmt w:val="lowerLetter"/>
      <w:lvlText w:val="%8."/>
      <w:lvlJc w:val="left"/>
      <w:pPr>
        <w:ind w:left="5760" w:hanging="360"/>
      </w:pPr>
    </w:lvl>
    <w:lvl w:ilvl="8" w:tplc="24502100" w:tentative="1">
      <w:start w:val="1"/>
      <w:numFmt w:val="lowerRoman"/>
      <w:lvlText w:val="%9."/>
      <w:lvlJc w:val="right"/>
      <w:pPr>
        <w:ind w:left="6480" w:hanging="180"/>
      </w:pPr>
    </w:lvl>
  </w:abstractNum>
  <w:abstractNum w:abstractNumId="600867348">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9947819">
    <w:multiLevelType w:val="hybridMultilevel"/>
    <w:lvl w:ilvl="0" w:tplc="68968063">
      <w:start w:val="1"/>
      <w:numFmt w:val="decimal"/>
      <w:lvlText w:val="%1."/>
      <w:lvlJc w:val="left"/>
      <w:pPr>
        <w:ind w:left="720" w:hanging="360"/>
      </w:pPr>
    </w:lvl>
    <w:lvl w:ilvl="1" w:tplc="68968063" w:tentative="1">
      <w:start w:val="1"/>
      <w:numFmt w:val="lowerLetter"/>
      <w:lvlText w:val="%2."/>
      <w:lvlJc w:val="left"/>
      <w:pPr>
        <w:ind w:left="1440" w:hanging="360"/>
      </w:pPr>
    </w:lvl>
    <w:lvl w:ilvl="2" w:tplc="68968063" w:tentative="1">
      <w:start w:val="1"/>
      <w:numFmt w:val="lowerRoman"/>
      <w:lvlText w:val="%3."/>
      <w:lvlJc w:val="right"/>
      <w:pPr>
        <w:ind w:left="2160" w:hanging="180"/>
      </w:pPr>
    </w:lvl>
    <w:lvl w:ilvl="3" w:tplc="68968063" w:tentative="1">
      <w:start w:val="1"/>
      <w:numFmt w:val="decimal"/>
      <w:lvlText w:val="%4."/>
      <w:lvlJc w:val="left"/>
      <w:pPr>
        <w:ind w:left="2880" w:hanging="360"/>
      </w:pPr>
    </w:lvl>
    <w:lvl w:ilvl="4" w:tplc="68968063" w:tentative="1">
      <w:start w:val="1"/>
      <w:numFmt w:val="lowerLetter"/>
      <w:lvlText w:val="%5."/>
      <w:lvlJc w:val="left"/>
      <w:pPr>
        <w:ind w:left="3600" w:hanging="360"/>
      </w:pPr>
    </w:lvl>
    <w:lvl w:ilvl="5" w:tplc="68968063" w:tentative="1">
      <w:start w:val="1"/>
      <w:numFmt w:val="lowerRoman"/>
      <w:lvlText w:val="%6."/>
      <w:lvlJc w:val="right"/>
      <w:pPr>
        <w:ind w:left="4320" w:hanging="180"/>
      </w:pPr>
    </w:lvl>
    <w:lvl w:ilvl="6" w:tplc="68968063" w:tentative="1">
      <w:start w:val="1"/>
      <w:numFmt w:val="decimal"/>
      <w:lvlText w:val="%7."/>
      <w:lvlJc w:val="left"/>
      <w:pPr>
        <w:ind w:left="5040" w:hanging="360"/>
      </w:pPr>
    </w:lvl>
    <w:lvl w:ilvl="7" w:tplc="68968063" w:tentative="1">
      <w:start w:val="1"/>
      <w:numFmt w:val="lowerLetter"/>
      <w:lvlText w:val="%8."/>
      <w:lvlJc w:val="left"/>
      <w:pPr>
        <w:ind w:left="5760" w:hanging="360"/>
      </w:pPr>
    </w:lvl>
    <w:lvl w:ilvl="8" w:tplc="68968063" w:tentative="1">
      <w:start w:val="1"/>
      <w:numFmt w:val="lowerRoman"/>
      <w:lvlText w:val="%9."/>
      <w:lvlJc w:val="right"/>
      <w:pPr>
        <w:ind w:left="6480" w:hanging="180"/>
      </w:pPr>
    </w:lvl>
  </w:abstractNum>
  <w:abstractNum w:abstractNumId="89947818">
    <w:multiLevelType w:val="hybridMultilevel"/>
    <w:lvl w:ilvl="0" w:tplc="956309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947818">
    <w:abstractNumId w:val="89947818"/>
  </w:num>
  <w:num w:numId="89947819">
    <w:abstractNumId w:val="89947819"/>
  </w:num>
  <w:num w:numId="600867348">
    <w:abstractNumId w:val="600867348"/>
  </w:num>
  <w:num w:numId="89947820">
    <w:abstractNumId w:val="89947820"/>
  </w:num>
  <w:num w:numId="632688390">
    <w:abstractNumId w:val="6326883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06678683" Type="http://schemas.openxmlformats.org/officeDocument/2006/relationships/numbering" Target="numbering.xml"/><Relationship Id="rId79866349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