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227913" w:name="document"/>
    <w:bookmarkEnd w:id="4227913"/>
    <w:p/>
    <w:p>
      <w:pPr>
        <w:widowControl w:val="on"/>
        <w:pBdr/>
        <w:spacing w:before="0" w:after="280" w:line="240" w:lineRule="auto"/>
        <w:ind w:left="0" w:right="0"/>
        <w:jc w:val="left"/>
      </w:pPr>
      <w:r>
        <w:rPr>
          <w:rFonts w:ascii="Arial" w:hAnsi="Arial" w:eastAsia="Arial" w:cs="Arial"/>
          <w:color w:val="363A40"/>
          <w:sz w:val="24"/>
          <w:szCs w:val="24"/>
        </w:rPr>
        <w:t xml:space="preserve">Dokument-ID: 1095782 | Stefan Steinkogler -
Markus Reinfeld - Sophie Rendl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BYOD</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 der Geschäftsführung der Firma … und dem
Betriebsrat der Firma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Im Regelfall werden für den dienstlichen Gebrauch auch
dienstliche (IT-)Geräte verwendet. Aus praktischen Gesichtspunkten
haben viele Mitarbeiter jedoch den Wunsch, private Hardware,
insbesondere wie Smartphones, Tablets oder Laptops, auch für
dienstliche Zwecke zu verwenden. Soll die Verwendung privater
Hardware für dienstliche Zwecke zugelassen werden, bedarf es der
Erfüllung der in dieser Vereinbarung genannten Voraussetzungen. Da
die Nutzung privater Hardware zu dienstlichen Zwecken ein nicht zu
unterschätzendes Sicherheitsrisiko für jedes Unternehmen darstellt,
ist die Einhaltung der folgenden Bestimmungen unbedingt
notwendig.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Allgemeines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w:t>
            </w:r>
            <w:r>
              <w:rPr>
                <w:rFonts w:ascii="Arial" w:hAnsi="Arial" w:eastAsia="Arial" w:cs="Arial"/>
                <w:color w:val="000000"/>
                <w:position w:val="0"/>
                <w:sz w:val="20"/>
                <w:szCs w:val="20"/>
                <w:shd w:val="clear" w:color="auto" w:fill="FFFFFF"/>
              </w:rPr>
              <w:br/>
              <w:t xml:space="preserve">Gegenstand dieser Vereinbarung ist die Nutzung privater Hardware zu
dienstlichen Zwecken.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Geltungsbereich</w:t>
            </w:r>
            <w:r>
              <w:rPr>
                <w:rFonts w:ascii="Arial" w:hAnsi="Arial" w:eastAsia="Arial" w:cs="Arial"/>
                <w:color w:val="000000"/>
                <w:position w:val="0"/>
                <w:sz w:val="20"/>
                <w:szCs w:val="20"/>
                <w:shd w:val="clear" w:color="auto" w:fill="FFFFFF"/>
              </w:rPr>
              <w:br/>
              <w:t xml:space="preserve">Diese Betriebsvereinbarung gilt für alle Dienstnehmer, die mit
ihrem Dienstgeber die Nutzung privater Smartphones, Tablets oder
Laptops (im Folgenden: private Hardware) zu dienstlichen Zwecken
vereinbaren. Ohne den Abschluss einer solchen Vereinbarung unter
Bezugnahme auf diese Betriebsvereinbarung ist die Nutzung privater
Hardware für dienstliche Zwecke nicht gestattet.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einzelvertragliche Vereinbarung über die Nutzung privater
Hardware zu dienstlichen Zwecken bedarf der Schriftform.</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Betriebsvereinbarung begründet keinen Anspruch einzelner
Dienstnehmer auf Aufnahme in das BYOD-Programm. Über die Aufnahme
in das BYOD-Programm entscheidet der Dienstgeber auf Antrag der
oder des einzelnen Dienstnehmer/s. Zwingende Voraussetzung für die
Genehmigung des Antrags ist die Erfüllung der notwendigen
technischen Voraussetzungen der jeweiligen privaten Hardware, um
der Umsetzung der nachfolgenden Vorschriften für die dienstliche
Nutzung zu entsprechen.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Zweck und Inhalt der
Betriebsvereinbarung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Betriebsvereinbarung regelt die Möglichkeit des
Dienstnehmers, private Hardware zu dienstlichen Zwecken zu
verwenden. Eine Aufnahme der oder des Mitarbeitenden in das
BYOD-Programm begründet kein Telearbeitsverhältnis und keinen
Anspruch auf einen Homeoffice-Arbeitsplatz. Sollten Regelungen zu
Telearbeit, </w:t>
            </w:r>
            <w:r>
              <w:rPr>
                <w:rFonts w:ascii="Arial" w:hAnsi="Arial" w:eastAsia="Arial" w:cs="Arial"/>
                <w:color w:val="000000"/>
                <w:position w:val="0"/>
                <w:sz w:val="20"/>
                <w:szCs w:val="20"/>
                <w:shd w:val="clear" w:color="auto" w:fill="FFFFFF"/>
              </w:rPr>
              <w:t xml:space="preserve">Homeoffice</w:t>
            </w:r>
            <w:bookmarkStart w:id="89952979" w:name="link1"/>
            <w:bookmarkEnd w:id="89952979"/>
            <w:hyperlink w:anchor="note1" w:history="1">
              <w:r>
                <w:rPr>
                  <w:rFonts w:ascii="Arial" w:hAnsi="Arial" w:eastAsia="Arial" w:cs="Arial"/>
                  <w:b/>
                  <w:bCs/>
                  <w:color w:val="006BB6"/>
                  <w:position w:val="4"/>
                  <w:sz w:val="22"/>
                  <w:szCs w:val="22"/>
                  <w:shd w:val="clear" w:color="auto" w:fill="FFFFFF"/>
                  <w:vertAlign w:val="superscript"/>
                </w:rPr>
                <w:t xml:space="preserve">1</w:t>
              </w:r>
            </w:hyperlink>
            <w:r>
              <w:rPr>
                <w:rFonts w:ascii="Arial" w:hAnsi="Arial" w:eastAsia="Arial" w:cs="Arial"/>
                <w:color w:val="000000"/>
                <w:position w:val="0"/>
                <w:sz w:val="20"/>
                <w:szCs w:val="20"/>
                <w:shd w:val="clear" w:color="auto" w:fill="FFFFFF"/>
              </w:rPr>
              <w:t xml:space="preserve"> oder
Arbeits- und Gleitzeitregelungen bestehen, werden jene durch diese
Betriebsvereinbarung nicht berührt und sind davon unabhängig zu
beurteilen.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 Ersatz der durch den Dienstgeber zur Verfügung gestellten
Betriebsmittel ist damit nicht verbunden.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der Verwendung privater Hardware ist eine Leistungs- und
Verhaltenskontrolle nicht verbunden.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Pflichten des Dienstgebers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den Pflichten des Dienstgebers gehört die
Zurverfügungstellung der notwendigen Infrastruktur, darunter
versteht man einen Support-Dienst, der während der
(Kern)Arbeitszeit bzw sofern eine solche nicht vorgesehen ist, zu
den jeweils vorgegebenen Dienstzeiten erreichbar ist. Dieser
Supportdienst bietet Unterstützung bei der Bedienung der vom
Dienstgeber zur Verfügung gestellten Applikationen und
Programme.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Zugang zu dienstlichen Daten wird ein </w:t>
            </w:r>
            <w:r>
              <w:rPr>
                <w:rFonts w:ascii="Arial" w:hAnsi="Arial" w:eastAsia="Arial" w:cs="Arial"/>
                <w:color w:val="000000"/>
                <w:position w:val="0"/>
                <w:sz w:val="20"/>
                <w:szCs w:val="20"/>
                <w:shd w:val="clear" w:color="auto" w:fill="FFFFFF"/>
              </w:rPr>
              <w:t xml:space="preserve">„Mobile-Device-Management-System“</w:t>
            </w:r>
            <w:bookmarkStart w:id="16948464" w:name="link2"/>
            <w:bookmarkEnd w:id="16948464"/>
            <w:hyperlink w:anchor="note2" w:history="1">
              <w:r>
                <w:rPr>
                  <w:rFonts w:ascii="Arial" w:hAnsi="Arial" w:eastAsia="Arial" w:cs="Arial"/>
                  <w:b/>
                  <w:bCs/>
                  <w:color w:val="006BB6"/>
                  <w:position w:val="4"/>
                  <w:sz w:val="22"/>
                  <w:szCs w:val="22"/>
                  <w:shd w:val="clear" w:color="auto" w:fill="FFFFFF"/>
                  <w:vertAlign w:val="superscript"/>
                </w:rPr>
                <w:t xml:space="preserve">2</w:t>
              </w:r>
            </w:hyperlink>
            <w:r>
              <w:rPr>
                <w:rFonts w:ascii="Arial" w:hAnsi="Arial" w:eastAsia="Arial" w:cs="Arial"/>
                <w:color w:val="000000"/>
                <w:position w:val="0"/>
                <w:sz w:val="20"/>
                <w:szCs w:val="20"/>
                <w:shd w:val="clear" w:color="auto" w:fill="FFFFFF"/>
              </w:rPr>
              <w:t xml:space="preserve"> zur
Verfügung gestellt. Soweit personenbezogene Daten von der
Datenverarbeitung umfasst sind, ist auf die diesbezüglichen
gesetzlichen Bestimmungen der Datenschutzgrundverordnung (DSGVO)
bzw des Datenschutzgesetzes (DSG) zu </w:t>
            </w:r>
            <w:r>
              <w:rPr>
                <w:rFonts w:ascii="Arial" w:hAnsi="Arial" w:eastAsia="Arial" w:cs="Arial"/>
                <w:color w:val="000000"/>
                <w:position w:val="0"/>
                <w:sz w:val="20"/>
                <w:szCs w:val="20"/>
                <w:shd w:val="clear" w:color="auto" w:fill="FFFFFF"/>
              </w:rPr>
              <w:t xml:space="preserve">verweisen.</w:t>
            </w:r>
            <w:bookmarkStart w:id="24026915" w:name="link3"/>
            <w:bookmarkEnd w:id="24026915"/>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Mobile-Device-Management-System wird zu folgenden Zwecken
eingesetzt:</w:t>
            </w:r>
          </w:p>
          <w:p>
            <w:pPr>
              <w:numPr>
                <w:ilvl w:val="0"/>
                <w:numId w:val="2665374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Management der dienstlichen Daten und Programme</w:t>
            </w:r>
          </w:p>
          <w:p>
            <w:pPr>
              <w:numPr>
                <w:ilvl w:val="0"/>
                <w:numId w:val="2665374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Überwachung der Einhaltung der IT-Sicherheitsstandards</w:t>
            </w:r>
          </w:p>
          <w:p>
            <w:pPr>
              <w:numPr>
                <w:ilvl w:val="0"/>
                <w:numId w:val="2665374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Überwachung der Einhaltung des Datenschutzes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 Sicherstellung der Einhaltung technischer und rechtlicher
Anforderungen werden vom Dienstgeber die technischen Eigenschaften
der jeweiligen privaten Hardware geprüft und registriert.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Betriebsrat erhält eine jeweils aktuelle Liste aller
Dienstnehmer, die dem BYOD-Programm unterliegen.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Pflichten des Dienstnehmers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Jeder Dienstnehmer haftet für alle Rechtsverletzungen, welche
unter Verwendung der jeweiligen privaten Hardware begangen werden,
darunter versteht man auch Lizenz- und/oder
Urheberrechtsverletzungen. Vor Aufnahme in das Programm hat jeder
Dienstnehmer eine Überprüfung vorzunehmen, ob die auf der privaten
Hardware installierte Software mit den jeweiligen
Datenschutzbestimmungen konform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Jeden Dienstnehmer trifft die Verpflichtung, den Dienstgeber bei
IT-Sicherheitsvorfällen, Verlust oder Beschädigung der privaten
Hardware unverzüglich zu informieren.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von dem Dienstnehmer verwendeten Applikationen sind vor
Aufnahme in das Programm dahingehend zu prüfen, dass
datenschutzrechtliche Standards eingehalten werden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der Bearbeitung von Daten ist sicherzustellen, dass eine
aktuelle Version auf dem Server des Dienstgebers gespeichert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wird vor Installation eines Programmes, mit dem
auf die dienstlichen Daten der privaten Hardware zugegriffen werden
kann, eine entsprechende ausdrückliche Einwilligung erklären, ohne
welche die Verwendung privater Hardware nicht möglich ist. Eine
solche Kontrolle erfolgt ausschließlich zu dem Zweck, unberechtigte
Zugriffe auf die Daten und Anwendungen zu identifizieren oder
festzustellen, ob sich auf der privaten Hardware Schadprogramme
befinden. Ein Echtzeit-/Remotezugriff erfolgt ausschließlich nach
Beiziehen des Betriebsrats und jeweiliger Zustimmung des
Dienstnehmers.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Jeder Dienstnehmer verpflichtet sich dazu, darauf zu achten,
dass über andere Schnittstellen oder Programme (Bluetooth, USB,
Cloud-Dienste etc) kein Zugriff auf dienstliche Daten genommen
werden kann.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Während der Teilnahme am BYOD-Programm ist die Nutzung der
privaten Hardware durch Dritte ausnahmslos unzulässig.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Prüfungs- und Kontrollrecht der oder des
Datenschutzbeauftragten umfasst auch private Hardware.</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Verwaltung der Daten auf der
privaten Hardware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Jeder Dienstnehmer ist verpflichtet, den Anweisungen des Mobile
Device Management-Systems Folge zu leisten. Dies umfasst
insbesondere die Verpflichtung, notwendige Software zu installieren
sowie Updates vorzunehmen und keine Löschung der diesbezüglichen
Software ohne vorherige Zustimmung des Dienstgebers
vorzunehmen.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Verwaltung von privaten und dienstlichen Daten hat getrennt
zu erfolgen. Der Dienstnehmer hat darauf zu achten, dass eine
Vermischung von dienstlichen und privaten Daten nicht vorgenommen
werden kann. Der Dienstgeber hat das Mobile Device
Management-System so zu konfigurieren, dass eine Vermischung von
dienstlichen und privaten Daten im Rahmen des technisch Möglichen
vermieden wird. Die Erstellung von Sicherungskopien dienstlicher
Daten außerhalb des Betriebsnetzwerks ist in jeglicher Form
untersagt.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Kostentragung, Haftung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in Zusammenhang mit der Anschaffung oder dem Betrieb der
privaten Hardware anfallenden Kosten hat der Dienstnehmer selber zu
tragen. Dazu zählen insbesondere die Kosten für die Anschaffung des
Gerätes sowie dessen Zubehör und Anwendungen, soweit diese nicht
vom Dienstgeber zur Verfügung zu stellen sind, sowie sämtliche
Kosten, die für die Nutzung des Gerätes entstehen.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besteht keine Haftung des Dienstgebers für Verlust oder
Beschädigung der privaten Hardware; dies gilt insbesondere für
installierte Anwendungen, private Daten oder sonstige Inhalte.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Den Dienstnehmer trifft die Verpflichtung zum Ersatz aller im
Zusammenhang mit der Verwendung der privaten Hardware entstehender
Schäden, dies betrifft insbesondere Schäden aus
Datenschutzverletzungen.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Sicherheitsanforderungen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verpflichtet sich, jegliche
Sicherheitsanweisungen des Dienstgebers zu beachten und umgehend
umzusetzen.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verpflichtet sich, seine private Hardware stets
mit dem aktuellsten Virenschutzprogramm auszustatten.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Verwendung von Software achtet der Dienstnehmer
besonders auf die Erfüllung des Sicherheitsstandards und zeigt
jeglichen Verdachtsmoment auf unseriöse Quellen dem Dienstgeber
unverzüglich an.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billigt in die Installation von Programmen ein,
die eine Sperrung der privaten Hardware sowie die Fernlöschung von
betrieblichen Daten ermöglicht, sofern dies dem Schutz
betrieblicher Daten dient.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Fernlöschung ist insbesondere in folgenden Fällen
zulässig:</w:t>
            </w:r>
          </w:p>
          <w:p>
            <w:pPr>
              <w:numPr>
                <w:ilvl w:val="0"/>
                <w:numId w:val="44544135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Beschädigung oder Diebstahl der privaten Hardware</w:t>
            </w:r>
          </w:p>
          <w:p>
            <w:pPr>
              <w:numPr>
                <w:ilvl w:val="0"/>
                <w:numId w:val="44544135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zu häufiger Fehleingabe des PINs/Passwortes</w:t>
            </w:r>
          </w:p>
          <w:p>
            <w:pPr>
              <w:numPr>
                <w:ilvl w:val="0"/>
                <w:numId w:val="44544135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Beendigung des BYOD-Programms</w:t>
            </w:r>
          </w:p>
          <w:p>
            <w:pPr>
              <w:numPr>
                <w:ilvl w:val="0"/>
                <w:numId w:val="44544135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Beendigung des Dienstverhältnisses</w:t>
            </w:r>
          </w:p>
          <w:p>
            <w:pPr>
              <w:numPr>
                <w:ilvl w:val="0"/>
                <w:numId w:val="44544135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schwerwiegendem Verstoß des Dienstnehmers gegen seine
Pflichten hierunter</w:t>
            </w:r>
          </w:p>
          <w:p>
            <w:pPr>
              <w:numPr>
                <w:ilvl w:val="0"/>
                <w:numId w:val="44544135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sonstigen Verstößen gegen rechtlich zwingende Vorgaben,
insbesondere datenschutzrechtliche Verpflichtungen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solche Fernlöschung ist dem Dienstnehmer vor deren Vornahme
unverzüglich mitzuteilen, sodass dieser eine Sicherung seiner
privaten Daten rechtzeitig vornehmen kann. Kommt es im Zuge einer
solchen Fernlöschung von Daten zum Verlust privater Daten oder
Inhalte, trifft den Dienstgeber in diesem Zusammenhang keine
Haftung.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Beendigung der Teilnahme am
BYOD-Programm</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Beendigung an der Teilnahme am BYOD-Programm durch den
Dienstnehmer kann jederzeit ohne Angabe von Gründen erfolgen und
bedarf der Schriftform.</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Dienstgeber verpflichtet sich, jegliche im Zusammenhang mit
der Teilnahme am BYOD-Programm erhaltenen Daten, die die jeweilige
private Hardware betreffen, unverzüglich nach dem schriftlichen
Zugang der Beendigung durch den Dienstnehmer zu löschen. Der
Dienstnehmer hat im Fall des Ausscheidens aus dem BYOD-Programm
sämtliche dienstlichen Daten und Kontakte von seiner jeweiligen
privaten Hardware auf den Server des Dienstgebers zu überspielen,
sofern nicht eine automatische Synchronisation erfolgt.
Anschließend sind diese Daten von seiner jeweiligen privaten
Hardware unwiederbringlich zu löschen.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Dienstgeber kann die Teilnahme an dem BYOD-Programm in
schriftlicher Form widerrufen, wenn der Dienstnehmer durch den
Einsatz seiner privaten Hardware eine Datenschutzgefährdung
darstellt oder sonstige wichtige Gründe vorliegen.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Teilnahme am BYOD-Programm endet jedenfalls mit Beendigung
des jeweiligen Dienstverhältnisses. In diesem Fall gilt 8.2.</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Geltungsdauer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Vereinbarung tritt am Tage der Unterzeichnung in Kraft und
endet am … ohne Nachwirkung.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Dienstgeber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Betriebsrat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959709" w:name="note1"/>
            <w:bookmarkEnd w:id="12959709"/>
            <w:bookmarkStart w:id="382989985991" w:name="note1"/>
            <w:r>
              <w:rPr>
                <w:rFonts w:ascii="Arial" w:hAnsi="Arial" w:eastAsia="Arial" w:cs="Arial"/>
                <w:b/>
                <w:bCs/>
                <w:color w:val="000000"/>
                <w:position w:val="0"/>
                <w:sz w:val="20"/>
                <w:szCs w:val="20"/>
              </w:rPr>
              <w:t xml:space="preserve">[1]</w:t>
            </w:r>
            <w:bookmarkEnd w:id="3829899859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Hinweis auf rechtliche Änderungen „Homeoffice-Gesetz“
(Arbeitsvertragsrechts-Anpassungsgesetz, Arbeitsverfassungsgesetz
ua, Änderung [94/ME]).</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494977" w:name="note2"/>
            <w:bookmarkEnd w:id="42494977"/>
            <w:bookmarkStart w:id="6332076971905" w:name="note2"/>
            <w:r>
              <w:rPr>
                <w:rFonts w:ascii="Arial" w:hAnsi="Arial" w:eastAsia="Arial" w:cs="Arial"/>
                <w:b/>
                <w:bCs/>
                <w:color w:val="000000"/>
                <w:position w:val="0"/>
                <w:sz w:val="20"/>
                <w:szCs w:val="20"/>
              </w:rPr>
              <w:t xml:space="preserve">[2]</w:t>
            </w:r>
            <w:bookmarkEnd w:id="633207697190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Mobile Device Management (MDM) ist die zentralisierte Verwaltung
von mobilen Geräten wie Smartphones, Tablets und Notebooks im
Unternehmen. MDM beabsichtigt bei gleichzeitigem Schutz des
Unternehmensnetzwerks die Sicherheit und Funktionalität dieser
Geräte am Arbeitsplatz zu optimieren.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297109" w:name="note3"/>
            <w:bookmarkEnd w:id="38297109"/>
            <w:bookmarkStart w:id="976900231135" w:name="note3"/>
            <w:r>
              <w:rPr>
                <w:rFonts w:ascii="Arial" w:hAnsi="Arial" w:eastAsia="Arial" w:cs="Arial"/>
                <w:b/>
                <w:bCs/>
                <w:color w:val="000000"/>
                <w:position w:val="0"/>
                <w:sz w:val="20"/>
                <w:szCs w:val="20"/>
              </w:rPr>
              <w:t xml:space="preserve">[3]</w:t>
            </w:r>
            <w:bookmarkEnd w:id="97690023113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Wichtig hier vor allem bestehende Informationspflichten über die
Art und die Dauer der personenbezogenen Datenverarbeitung.</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44135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6653740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2908529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0413034">
    <w:multiLevelType w:val="hybridMultilevel"/>
    <w:lvl w:ilvl="0" w:tplc="99975365">
      <w:start w:val="1"/>
      <w:numFmt w:val="decimal"/>
      <w:lvlText w:val="%1."/>
      <w:lvlJc w:val="left"/>
      <w:pPr>
        <w:ind w:left="720" w:hanging="360"/>
      </w:pPr>
    </w:lvl>
    <w:lvl w:ilvl="1" w:tplc="99975365" w:tentative="1">
      <w:start w:val="1"/>
      <w:numFmt w:val="lowerLetter"/>
      <w:lvlText w:val="%2."/>
      <w:lvlJc w:val="left"/>
      <w:pPr>
        <w:ind w:left="1440" w:hanging="360"/>
      </w:pPr>
    </w:lvl>
    <w:lvl w:ilvl="2" w:tplc="99975365" w:tentative="1">
      <w:start w:val="1"/>
      <w:numFmt w:val="lowerRoman"/>
      <w:lvlText w:val="%3."/>
      <w:lvlJc w:val="right"/>
      <w:pPr>
        <w:ind w:left="2160" w:hanging="180"/>
      </w:pPr>
    </w:lvl>
    <w:lvl w:ilvl="3" w:tplc="99975365" w:tentative="1">
      <w:start w:val="1"/>
      <w:numFmt w:val="decimal"/>
      <w:lvlText w:val="%4."/>
      <w:lvlJc w:val="left"/>
      <w:pPr>
        <w:ind w:left="2880" w:hanging="360"/>
      </w:pPr>
    </w:lvl>
    <w:lvl w:ilvl="4" w:tplc="99975365" w:tentative="1">
      <w:start w:val="1"/>
      <w:numFmt w:val="lowerLetter"/>
      <w:lvlText w:val="%5."/>
      <w:lvlJc w:val="left"/>
      <w:pPr>
        <w:ind w:left="3600" w:hanging="360"/>
      </w:pPr>
    </w:lvl>
    <w:lvl w:ilvl="5" w:tplc="99975365" w:tentative="1">
      <w:start w:val="1"/>
      <w:numFmt w:val="lowerRoman"/>
      <w:lvlText w:val="%6."/>
      <w:lvlJc w:val="right"/>
      <w:pPr>
        <w:ind w:left="4320" w:hanging="180"/>
      </w:pPr>
    </w:lvl>
    <w:lvl w:ilvl="6" w:tplc="99975365" w:tentative="1">
      <w:start w:val="1"/>
      <w:numFmt w:val="decimal"/>
      <w:lvlText w:val="%7."/>
      <w:lvlJc w:val="left"/>
      <w:pPr>
        <w:ind w:left="5040" w:hanging="360"/>
      </w:pPr>
    </w:lvl>
    <w:lvl w:ilvl="7" w:tplc="99975365" w:tentative="1">
      <w:start w:val="1"/>
      <w:numFmt w:val="lowerLetter"/>
      <w:lvlText w:val="%8."/>
      <w:lvlJc w:val="left"/>
      <w:pPr>
        <w:ind w:left="5760" w:hanging="360"/>
      </w:pPr>
    </w:lvl>
    <w:lvl w:ilvl="8" w:tplc="99975365" w:tentative="1">
      <w:start w:val="1"/>
      <w:numFmt w:val="lowerRoman"/>
      <w:lvlText w:val="%9."/>
      <w:lvlJc w:val="right"/>
      <w:pPr>
        <w:ind w:left="6480" w:hanging="180"/>
      </w:pPr>
    </w:lvl>
  </w:abstractNum>
  <w:abstractNum w:abstractNumId="40413033">
    <w:multiLevelType w:val="hybridMultilevel"/>
    <w:lvl w:ilvl="0" w:tplc="34135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13033">
    <w:abstractNumId w:val="40413033"/>
  </w:num>
  <w:num w:numId="40413034">
    <w:abstractNumId w:val="40413034"/>
  </w:num>
  <w:num w:numId="929085291">
    <w:abstractNumId w:val="929085291"/>
  </w:num>
  <w:num w:numId="266537409">
    <w:abstractNumId w:val="266537409"/>
  </w:num>
  <w:num w:numId="445441357">
    <w:abstractNumId w:val="4454413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12425265" Type="http://schemas.openxmlformats.org/officeDocument/2006/relationships/numbering" Target="numbering.xml"/><Relationship Id="rId90915572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