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2864455" w:name="document"/>
    <w:bookmarkEnd w:id="72864455"/>
    <w:p/>
    <w:p>
      <w:pPr>
        <w:widowControl w:val="on"/>
        <w:pBdr/>
        <w:spacing w:before="0" w:after="280" w:line="240" w:lineRule="auto"/>
        <w:ind w:left="0" w:right="0"/>
        <w:jc w:val="left"/>
      </w:pPr>
      <w:r>
        <w:rPr>
          <w:rFonts w:ascii="Arial" w:hAnsi="Arial" w:eastAsia="Arial" w:cs="Arial"/>
          <w:color w:val="363A40"/>
          <w:sz w:val="24"/>
          <w:szCs w:val="24"/>
        </w:rPr>
        <w:t xml:space="preserve">Dokument-ID: 1095762 | Melanie Haberer - Beate
Weisser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Durchrechnung der Arbeitszeit in Handelsbetrieben</w:t>
      </w:r>
    </w:p>
    <w:p>
      <w:pPr>
        <w:widowControl w:val="on"/>
        <w:pBdr/>
        <w:spacing w:before="140" w:after="240" w:line="288" w:lineRule="auto"/>
        <w:ind w:left="0" w:right="0"/>
        <w:jc w:val="center"/>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center"/>
      </w:pPr>
      <w:r>
        <w:rPr>
          <w:rFonts w:ascii="Arial" w:hAnsi="Arial" w:eastAsia="Arial" w:cs="Arial"/>
          <w:color w:val="000000"/>
          <w:sz w:val="20"/>
          <w:szCs w:val="20"/>
        </w:rPr>
        <w:t xml:space="preserve">… [Betriebsinhaber]</w:t>
      </w:r>
      <w:r>
        <w:rPr>
          <w:rFonts w:ascii="Arial" w:hAnsi="Arial" w:eastAsia="Arial" w:cs="Arial"/>
          <w:color w:val="000000"/>
          <w:sz w:val="20"/>
          <w:szCs w:val="20"/>
        </w:rPr>
        <w:br/>
        <w:t xml:space="preserve">Adresse</w:t>
      </w:r>
    </w:p>
    <w:p>
      <w:pPr>
        <w:widowControl w:val="on"/>
        <w:pBdr/>
        <w:spacing w:before="140" w:after="240" w:line="288" w:lineRule="auto"/>
        <w:ind w:left="0" w:right="0"/>
        <w:jc w:val="center"/>
      </w:pPr>
      <w:r>
        <w:rPr>
          <w:rFonts w:ascii="Arial" w:hAnsi="Arial" w:eastAsia="Arial" w:cs="Arial"/>
          <w:color w:val="000000"/>
          <w:sz w:val="20"/>
          <w:szCs w:val="20"/>
        </w:rPr>
        <w:t xml:space="preserve">und dem</w:t>
      </w:r>
    </w:p>
    <w:p>
      <w:pPr>
        <w:widowControl w:val="on"/>
        <w:pBdr/>
        <w:spacing w:before="140" w:after="240" w:line="288" w:lineRule="auto"/>
        <w:ind w:left="0" w:right="0"/>
        <w:jc w:val="center"/>
      </w:pPr>
      <w:r>
        <w:rPr>
          <w:rFonts w:ascii="Arial" w:hAnsi="Arial" w:eastAsia="Arial" w:cs="Arial"/>
          <w:color w:val="000000"/>
          <w:sz w:val="20"/>
          <w:szCs w:val="20"/>
        </w:rPr>
        <w:t xml:space="preserve">Betriebsrat der Angestellten</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 1 Geltungsbereich und
Gegenstand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 Betriebsvereinbarung gründet sich auf § 97 Abs 1
Z 2 ArbVG in Verbindung mit Abschnitt 2) A 7 des
Kollektivvertrags für Angestellte und Lehrlinge in
Handelsbetrieben. Die Betriebsvereinbarung soll die Durchrechnung
der Arbeitszeit zu den in dieser Betriebsvereinbarung geregelten
Konditionen ermöglichen.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Betriebsvereinbarung gilt für alle Vollzeit-Angestellten des
Betriebsinhabers. Ausdrücklich ausgenommen sind jene Angestellten
und Lehrlinge, die dem KJGB (Kinder- und
Jugend-Beschäftigungsgesetz) unterliegen.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Betriebsvereinbarung tritt am … in Kraft und gilt befristet
bis … Sie erlischt, ohne dass es einer Kündigung </w:t>
            </w:r>
            <w:r>
              <w:rPr>
                <w:rFonts w:ascii="Arial" w:hAnsi="Arial" w:eastAsia="Arial" w:cs="Arial"/>
                <w:color w:val="000000"/>
                <w:position w:val="0"/>
                <w:sz w:val="20"/>
                <w:szCs w:val="20"/>
                <w:shd w:val="clear" w:color="auto" w:fill="FFFFFF"/>
              </w:rPr>
              <w:t xml:space="preserve">bedarf.</w:t>
            </w:r>
            <w:bookmarkStart w:id="87181503" w:name="link1"/>
            <w:bookmarkEnd w:id="87181503"/>
            <w:hyperlink w:anchor="note1" w:history="1">
              <w:r>
                <w:rPr>
                  <w:rFonts w:ascii="Arial" w:hAnsi="Arial" w:eastAsia="Arial" w:cs="Arial"/>
                  <w:b/>
                  <w:bCs/>
                  <w:color w:val="006BB6"/>
                  <w:position w:val="4"/>
                  <w:sz w:val="22"/>
                  <w:szCs w:val="22"/>
                  <w:shd w:val="clear" w:color="auto" w:fill="FFFFFF"/>
                  <w:vertAlign w:val="superscript"/>
                </w:rPr>
                <w:t xml:space="preserve">1</w:t>
              </w:r>
            </w:hyperlink>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2 Normalarbeitszeit und
Durchrechnungszeitraum</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die Arbeitnehmer, die dieser Betriebsvereinbarung
unterliegen, gilt eine wöchentliche Normalarbeitszeit von 38,5
Stunden. Durch die Durchrechnung soll die Normalarbeitszeit in
einzelnen Wochen des Durchrechnungszeitraumes auf bis zu 44 Stunden
ausgedehnt werden; im Gegenzug wird die Normalarbeitszeit in
anderen Wochen reduziert. Der Ausgleich erfolgt dabei 1:1 ohne
Entstehung von Zuschlägen.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Dieser Durchrechnungszeitraum wird entsprechend der
kollektivvertraglichen Ermächtigung mit einem Jahr festgelegt, das
dem Kalenderjahr entspricht. Der Durchrechnungszeitraum beginnt
daher jeweils am 01.01. und endet am 31.12. eines </w:t>
            </w:r>
            <w:r>
              <w:rPr>
                <w:rFonts w:ascii="Arial" w:hAnsi="Arial" w:eastAsia="Arial" w:cs="Arial"/>
                <w:color w:val="000000"/>
                <w:position w:val="0"/>
                <w:sz w:val="20"/>
                <w:szCs w:val="20"/>
                <w:shd w:val="clear" w:color="auto" w:fill="FFFFFF"/>
              </w:rPr>
              <w:t xml:space="preserve">Kalenderjahres.</w:t>
            </w:r>
            <w:bookmarkStart w:id="71844071" w:name="link2"/>
            <w:bookmarkEnd w:id="71844071"/>
            <w:hyperlink w:anchor="note2" w:history="1">
              <w:r>
                <w:rPr>
                  <w:rFonts w:ascii="Arial" w:hAnsi="Arial" w:eastAsia="Arial" w:cs="Arial"/>
                  <w:b/>
                  <w:bCs/>
                  <w:color w:val="006BB6"/>
                  <w:position w:val="4"/>
                  <w:sz w:val="22"/>
                  <w:szCs w:val="22"/>
                  <w:shd w:val="clear" w:color="auto" w:fill="FFFFFF"/>
                  <w:vertAlign w:val="superscript"/>
                </w:rPr>
                <w:t xml:space="preserve">2</w:t>
              </w:r>
            </w:hyperlink>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3 Festlegung der Arbeitszeit
und Änderungen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Dauer der wöchentlichen Normalarbeitszeit ist mindestens 13
Wochen im Voraus zu vereinbaren.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Änderungen, die sich aus den jeweiligen Betriebserfordernissen
oder aus der Bedachtnahme auf die Interessen des Arbeitnehmers
ergeben, sind rechtzeitig vorher zu </w:t>
            </w:r>
            <w:r>
              <w:rPr>
                <w:rFonts w:ascii="Arial" w:hAnsi="Arial" w:eastAsia="Arial" w:cs="Arial"/>
                <w:color w:val="000000"/>
                <w:position w:val="0"/>
                <w:sz w:val="20"/>
                <w:szCs w:val="20"/>
                <w:shd w:val="clear" w:color="auto" w:fill="FFFFFF"/>
              </w:rPr>
              <w:t xml:space="preserve">vereinbaren.</w:t>
            </w:r>
            <w:bookmarkStart w:id="15709458" w:name="link3"/>
            <w:bookmarkEnd w:id="15709458"/>
            <w:hyperlink w:anchor="note3" w:history="1">
              <w:r>
                <w:rPr>
                  <w:rFonts w:ascii="Arial" w:hAnsi="Arial" w:eastAsia="Arial" w:cs="Arial"/>
                  <w:b/>
                  <w:bCs/>
                  <w:color w:val="006BB6"/>
                  <w:position w:val="4"/>
                  <w:sz w:val="22"/>
                  <w:szCs w:val="22"/>
                  <w:shd w:val="clear" w:color="auto" w:fill="FFFFFF"/>
                  <w:vertAlign w:val="superscript"/>
                </w:rPr>
                <w:t xml:space="preserve">3</w:t>
              </w:r>
            </w:hyperlink>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4 Zeitausgleich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zur Erreichung dieser durchschnittlichen Arbeitszeit im
Durchrechnungszeitraum erforderliche Zeitausgleich wird unter
Berücksichtigung der jeweiligen Betriebserfordernisse und unter
Bedachtnahme auf die Interessen der Arbeitnehmer mindestens in
halben Tagen gewährt.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Zeitguthaben am Ende des Dienstverhältnisses gebührt der
Normalstundenlohn, wenn das Dienstverhältnis wegen Entlassung aus
Verschulden des Arbeitnehmers, Kündigung durch den Arbeitnehmer
oder Austritt des Arbeitnehmers ohne wichtigen Grund endet.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5 Schlussbestimmungen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Änderungen und Ergänzungen dieser Betriebsvereinbarung können
nur im Einvernehmen zwischen Betriebsrat und Betriebsinhaber
getroffen werden; sie bedürfen der Schriftform.</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gänzliche oder teilweise Unwirksamkeit einzelner
Bestimmungen dieser Betriebsvereinbarung berührt die Wirksamkeit
der übrigen Bestimmungen nicht.</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9997840" w:name="note1"/>
            <w:bookmarkEnd w:id="99997840"/>
            <w:bookmarkStart w:id="6861937523439" w:name="note1"/>
            <w:r>
              <w:rPr>
                <w:rFonts w:ascii="Arial" w:hAnsi="Arial" w:eastAsia="Arial" w:cs="Arial"/>
                <w:b/>
                <w:bCs/>
                <w:color w:val="000000"/>
                <w:position w:val="0"/>
                <w:sz w:val="20"/>
                <w:szCs w:val="20"/>
              </w:rPr>
              <w:t xml:space="preserve">[1]</w:t>
            </w:r>
            <w:bookmarkEnd w:id="686193752343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97 Abs 1 Z 2 ArbVG können
Betriebsvereinbarungen zur generellen Festsetzung des Beginns und
Endes der täglichen Arbeitszeit, der Dauer und Lage der
Arbeitspausen und der Verteilung der Arbeitszeit auf die einzelnen
Wochentage abgeschlossen werden.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954552" w:name="note2"/>
            <w:bookmarkEnd w:id="5954552"/>
            <w:bookmarkStart w:id="9797696268598" w:name="note2"/>
            <w:r>
              <w:rPr>
                <w:rFonts w:ascii="Arial" w:hAnsi="Arial" w:eastAsia="Arial" w:cs="Arial"/>
                <w:b/>
                <w:bCs/>
                <w:color w:val="000000"/>
                <w:position w:val="0"/>
                <w:sz w:val="20"/>
                <w:szCs w:val="20"/>
              </w:rPr>
              <w:t xml:space="preserve">[2]</w:t>
            </w:r>
            <w:bookmarkEnd w:id="979769626859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Durch Betriebsvereinbarung können flexible Arbeitszeitmodelle
festgelegt werden. Bei Vereinbarung einer durchrechenbaren
Arbeitszeit wird die Normalarbeitszeit in einzelnen Wochen auf mehr
als 38,5 Stunden ausgeweitet, in anderen Wochen reduziert. Im
Schnitt leistet der Arbeitnehmer im Durchrechnungszeitraum die
Normalarbeitszeit.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Durchrechnungszeitraum im Handel umfasst grundsätzlich 26
Wochen. Er kann in Betrieben mit Betriebsrat durch
Betriebsvereinbarung, sonst durch Einzelvertrag auf maximal ein
Jahr ausgedehnt werden.</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6520220" w:name="note3"/>
            <w:bookmarkEnd w:id="46520220"/>
            <w:bookmarkStart w:id="5133028872555" w:name="note3"/>
            <w:r>
              <w:rPr>
                <w:rFonts w:ascii="Arial" w:hAnsi="Arial" w:eastAsia="Arial" w:cs="Arial"/>
                <w:b/>
                <w:bCs/>
                <w:color w:val="000000"/>
                <w:position w:val="0"/>
                <w:sz w:val="20"/>
                <w:szCs w:val="20"/>
              </w:rPr>
              <w:t xml:space="preserve">[3]</w:t>
            </w:r>
            <w:bookmarkEnd w:id="513302887255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einem Durchrechnungszeitraum von mehr als 13 Wochen reicht
es, wenn die Dauer der wöchentlichen Normalarbeitszeit für 13
Wochen im Vorhinein vereinbart ist (zB Woche 1 44 Stunden, Woche 2
38 Stunden etc)</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841063">
    <w:multiLevelType w:val="hybridMultilevel"/>
    <w:lvl w:ilvl="0" w:tplc="21740268">
      <w:start w:val="1"/>
      <w:numFmt w:val="decimal"/>
      <w:lvlText w:val="%1."/>
      <w:lvlJc w:val="left"/>
      <w:pPr>
        <w:ind w:left="720" w:hanging="360"/>
      </w:pPr>
    </w:lvl>
    <w:lvl w:ilvl="1" w:tplc="21740268" w:tentative="1">
      <w:start w:val="1"/>
      <w:numFmt w:val="lowerLetter"/>
      <w:lvlText w:val="%2."/>
      <w:lvlJc w:val="left"/>
      <w:pPr>
        <w:ind w:left="1440" w:hanging="360"/>
      </w:pPr>
    </w:lvl>
    <w:lvl w:ilvl="2" w:tplc="21740268" w:tentative="1">
      <w:start w:val="1"/>
      <w:numFmt w:val="lowerRoman"/>
      <w:lvlText w:val="%3."/>
      <w:lvlJc w:val="right"/>
      <w:pPr>
        <w:ind w:left="2160" w:hanging="180"/>
      </w:pPr>
    </w:lvl>
    <w:lvl w:ilvl="3" w:tplc="21740268" w:tentative="1">
      <w:start w:val="1"/>
      <w:numFmt w:val="decimal"/>
      <w:lvlText w:val="%4."/>
      <w:lvlJc w:val="left"/>
      <w:pPr>
        <w:ind w:left="2880" w:hanging="360"/>
      </w:pPr>
    </w:lvl>
    <w:lvl w:ilvl="4" w:tplc="21740268" w:tentative="1">
      <w:start w:val="1"/>
      <w:numFmt w:val="lowerLetter"/>
      <w:lvlText w:val="%5."/>
      <w:lvlJc w:val="left"/>
      <w:pPr>
        <w:ind w:left="3600" w:hanging="360"/>
      </w:pPr>
    </w:lvl>
    <w:lvl w:ilvl="5" w:tplc="21740268" w:tentative="1">
      <w:start w:val="1"/>
      <w:numFmt w:val="lowerRoman"/>
      <w:lvlText w:val="%6."/>
      <w:lvlJc w:val="right"/>
      <w:pPr>
        <w:ind w:left="4320" w:hanging="180"/>
      </w:pPr>
    </w:lvl>
    <w:lvl w:ilvl="6" w:tplc="21740268" w:tentative="1">
      <w:start w:val="1"/>
      <w:numFmt w:val="decimal"/>
      <w:lvlText w:val="%7."/>
      <w:lvlJc w:val="left"/>
      <w:pPr>
        <w:ind w:left="5040" w:hanging="360"/>
      </w:pPr>
    </w:lvl>
    <w:lvl w:ilvl="7" w:tplc="21740268" w:tentative="1">
      <w:start w:val="1"/>
      <w:numFmt w:val="lowerLetter"/>
      <w:lvlText w:val="%8."/>
      <w:lvlJc w:val="left"/>
      <w:pPr>
        <w:ind w:left="5760" w:hanging="360"/>
      </w:pPr>
    </w:lvl>
    <w:lvl w:ilvl="8" w:tplc="21740268" w:tentative="1">
      <w:start w:val="1"/>
      <w:numFmt w:val="lowerRoman"/>
      <w:lvlText w:val="%9."/>
      <w:lvlJc w:val="right"/>
      <w:pPr>
        <w:ind w:left="6480" w:hanging="180"/>
      </w:pPr>
    </w:lvl>
  </w:abstractNum>
  <w:abstractNum w:abstractNumId="84841062">
    <w:multiLevelType w:val="hybridMultilevel"/>
    <w:lvl w:ilvl="0" w:tplc="27446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841062">
    <w:abstractNumId w:val="84841062"/>
  </w:num>
  <w:num w:numId="84841063">
    <w:abstractNumId w:val="848410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79920341" Type="http://schemas.openxmlformats.org/officeDocument/2006/relationships/numbering" Target="numbering.xml"/><Relationship Id="rId82711924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