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71442891" w:name="document"/>
    <w:bookmarkEnd w:id="71442891"/>
    <w:p/>
    <w:p>
      <w:pPr>
        <w:widowControl w:val="on"/>
        <w:pBdr/>
        <w:spacing w:before="0" w:after="280" w:line="240" w:lineRule="auto"/>
        <w:ind w:left="0" w:right="0"/>
        <w:jc w:val="left"/>
      </w:pPr>
      <w:r>
        <w:rPr>
          <w:rFonts w:ascii="Arial" w:hAnsi="Arial" w:eastAsia="Arial" w:cs="Arial"/>
          <w:color w:val="363A40"/>
          <w:sz w:val="24"/>
          <w:szCs w:val="24"/>
        </w:rPr>
        <w:t xml:space="preserve">Dokument-ID: 1095782 | Stefan Steinkogler -
Markus Reinfeld - Sophie Rendl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BYOD</w:t>
      </w:r>
    </w:p>
    <w:p>
      <w:pPr>
        <w:widowControl w:val="on"/>
        <w:pBdr/>
        <w:spacing w:before="140" w:after="240" w:line="288" w:lineRule="auto"/>
        <w:ind w:left="0" w:right="0"/>
        <w:jc w:val="left"/>
      </w:pPr>
      <w:r>
        <w:rPr>
          <w:rFonts w:ascii="Arial" w:hAnsi="Arial" w:eastAsia="Arial" w:cs="Arial"/>
          <w:color w:val="000000"/>
          <w:sz w:val="20"/>
          <w:szCs w:val="20"/>
        </w:rPr>
        <w:t xml:space="preserve">abgeschlossen zwischen der Geschäftsführung der Firma … und dem
Betriebsrat der Firma …</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Präambel</w:t>
      </w:r>
    </w:p>
    <w:p>
      <w:pPr>
        <w:widowControl w:val="on"/>
        <w:pBdr/>
        <w:spacing w:before="140" w:after="240" w:line="288" w:lineRule="auto"/>
        <w:ind w:left="0" w:right="0"/>
        <w:jc w:val="left"/>
      </w:pPr>
      <w:r>
        <w:rPr>
          <w:rFonts w:ascii="Arial" w:hAnsi="Arial" w:eastAsia="Arial" w:cs="Arial"/>
          <w:color w:val="000000"/>
          <w:sz w:val="20"/>
          <w:szCs w:val="20"/>
        </w:rPr>
        <w:t xml:space="preserve">Im Regelfall werden für den dienstlichen Gebrauch auch
dienstliche (IT-)Geräte verwendet. Aus praktischen Gesichtspunkten
haben viele Mitarbeiter jedoch den Wunsch, private Hardware,
insbesondere wie Smartphones, Tablets oder Laptops, auch für
dienstliche Zwecke zu verwenden. Soll die Verwendung privater
Hardware für dienstliche Zwecke zugelassen werden, bedarf es der
Erfüllung der in dieser Vereinbarung genannten Voraussetzungen. Da
die Nutzung privater Hardware zu dienstlichen Zwecken ein nicht zu
unterschätzendes Sicherheitsrisiko für jedes Unternehmen darstellt,
ist die Einhaltung der folgenden Bestimmungen unbedingt
notwendig.</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 Allgemeines</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Gegenstand</w:t>
            </w:r>
            <w:r>
              <w:rPr>
                <w:rFonts w:ascii="Arial" w:hAnsi="Arial" w:eastAsia="Arial" w:cs="Arial"/>
                <w:color w:val="000000"/>
                <w:position w:val="0"/>
                <w:sz w:val="20"/>
                <w:szCs w:val="20"/>
                <w:shd w:val="clear" w:color="auto" w:fill="FFFFFF"/>
              </w:rPr>
              <w:br/>
              <w:t xml:space="preserve">Gegenstand dieser Vereinbarung ist die Nutzung privater Hardware zu
dienstlichen Zwecken.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Geltungsbereich</w:t>
            </w:r>
            <w:r>
              <w:rPr>
                <w:rFonts w:ascii="Arial" w:hAnsi="Arial" w:eastAsia="Arial" w:cs="Arial"/>
                <w:color w:val="000000"/>
                <w:position w:val="0"/>
                <w:sz w:val="20"/>
                <w:szCs w:val="20"/>
                <w:shd w:val="clear" w:color="auto" w:fill="FFFFFF"/>
              </w:rPr>
              <w:br/>
              <w:t xml:space="preserve">Diese Betriebsvereinbarung gilt für alle Dienstnehmer, die mit
ihrem Dienstgeber die Nutzung privater Smartphones, Tablets oder
Laptops (im Folgenden: private Hardware) zu dienstlichen Zwecken
vereinbaren. Ohne den Abschluss einer solchen Vereinbarung unter
Bezugnahme auf diese Betriebsvereinbarung ist die Nutzung privater
Hardware für dienstliche Zwecke nicht gestattet.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Eine einzelvertragliche Vereinbarung über die Nutzung privater
Hardware zu dienstlichen Zwecken bedarf der Schriftform.</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Diese Betriebsvereinbarung begründet keinen Anspruch einzelner
Dienstnehmer auf Aufnahme in das BYOD-Programm. Über die Aufnahme
in das BYOD-Programm entscheidet der Dienstgeber auf Antrag der
oder des einzelnen Dienstnehmer/s. Zwingende Voraussetzung für die
Genehmigung des Antrags ist die Erfüllung der notwendigen
technischen Voraussetzungen der jeweiligen privaten Hardware, um
der Umsetzung der nachfolgenden Vorschriften für die dienstliche
Nutzung zu entsprechen.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2. Zweck und Inhalt der
Betriebsvereinbarung</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Diese Betriebsvereinbarung regelt die Möglichkeit des
Dienstnehmers, private Hardware zu dienstlichen Zwecken zu
verwenden. Eine Aufnahme der oder des Mitarbeitenden in das
BYOD-Programm begründet kein Telearbeitsverhältnis und keinen
Anspruch auf einen Homeoffice-Arbeitsplatz. Sollten Regelungen zu
Telearbeit, </w:t>
            </w:r>
            <w:r>
              <w:rPr>
                <w:rFonts w:ascii="Arial" w:hAnsi="Arial" w:eastAsia="Arial" w:cs="Arial"/>
                <w:color w:val="000000"/>
                <w:position w:val="0"/>
                <w:sz w:val="20"/>
                <w:szCs w:val="20"/>
                <w:shd w:val="clear" w:color="auto" w:fill="FFFFFF"/>
              </w:rPr>
              <w:t xml:space="preserve">Homeoffice</w:t>
            </w:r>
            <w:bookmarkStart w:id="76931879" w:name="link1"/>
            <w:bookmarkEnd w:id="76931879"/>
            <w:hyperlink w:anchor="note1" w:history="1">
              <w:r>
                <w:rPr>
                  <w:rFonts w:ascii="Arial" w:hAnsi="Arial" w:eastAsia="Arial" w:cs="Arial"/>
                  <w:b/>
                  <w:bCs/>
                  <w:color w:val="006BB6"/>
                  <w:position w:val="4"/>
                  <w:sz w:val="22"/>
                  <w:szCs w:val="22"/>
                  <w:shd w:val="clear" w:color="auto" w:fill="FFFFFF"/>
                  <w:vertAlign w:val="superscript"/>
                </w:rPr>
                <w:t xml:space="preserve">1</w:t>
              </w:r>
            </w:hyperlink>
            <w:r>
              <w:rPr>
                <w:rFonts w:ascii="Arial" w:hAnsi="Arial" w:eastAsia="Arial" w:cs="Arial"/>
                <w:color w:val="000000"/>
                <w:position w:val="0"/>
                <w:sz w:val="20"/>
                <w:szCs w:val="20"/>
                <w:shd w:val="clear" w:color="auto" w:fill="FFFFFF"/>
              </w:rPr>
              <w:t xml:space="preserve"> oder
Arbeits- und Gleitzeitregelungen bestehen, werden jene durch diese
Betriebsvereinbarung nicht berührt und sind davon unabhängig zu
beurteilen.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 Ersatz der durch den Dienstgeber zur Verfügung gestellten
Betriebsmittel ist damit nicht verbunden.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Mit der Verwendung privater Hardware ist eine Leistungs- und
Verhaltenskontrolle nicht verbunden.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3. Pflichten des Dienstgebers</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 den Pflichten des Dienstgebers gehört die
Zurverfügungstellung der notwendigen Infrastruktur, darunter
versteht man einen Support-Dienst, der während der
(Kern)Arbeitszeit bzw sofern eine solche nicht vorgesehen ist, zu
den jeweils vorgegebenen Dienstzeiten erreichbar ist. Dieser
Supportdienst bietet Unterstützung bei der Bedienung der vom
Dienstgeber zur Verfügung gestellten Applikationen und
Programme.</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Für den Zugang zu dienstlichen Daten wird ein </w:t>
            </w:r>
            <w:r>
              <w:rPr>
                <w:rFonts w:ascii="Arial" w:hAnsi="Arial" w:eastAsia="Arial" w:cs="Arial"/>
                <w:color w:val="000000"/>
                <w:position w:val="0"/>
                <w:sz w:val="20"/>
                <w:szCs w:val="20"/>
                <w:shd w:val="clear" w:color="auto" w:fill="FFFFFF"/>
              </w:rPr>
              <w:t xml:space="preserve">„Mobile-Device-Management-System“</w:t>
            </w:r>
            <w:bookmarkStart w:id="76224811" w:name="link2"/>
            <w:bookmarkEnd w:id="76224811"/>
            <w:hyperlink w:anchor="note2" w:history="1">
              <w:r>
                <w:rPr>
                  <w:rFonts w:ascii="Arial" w:hAnsi="Arial" w:eastAsia="Arial" w:cs="Arial"/>
                  <w:b/>
                  <w:bCs/>
                  <w:color w:val="006BB6"/>
                  <w:position w:val="4"/>
                  <w:sz w:val="22"/>
                  <w:szCs w:val="22"/>
                  <w:shd w:val="clear" w:color="auto" w:fill="FFFFFF"/>
                  <w:vertAlign w:val="superscript"/>
                </w:rPr>
                <w:t xml:space="preserve">2</w:t>
              </w:r>
            </w:hyperlink>
            <w:r>
              <w:rPr>
                <w:rFonts w:ascii="Arial" w:hAnsi="Arial" w:eastAsia="Arial" w:cs="Arial"/>
                <w:color w:val="000000"/>
                <w:position w:val="0"/>
                <w:sz w:val="20"/>
                <w:szCs w:val="20"/>
                <w:shd w:val="clear" w:color="auto" w:fill="FFFFFF"/>
              </w:rPr>
              <w:t xml:space="preserve"> zur
Verfügung gestellt. Soweit personenbezogene Daten von der
Datenverarbeitung umfasst sind, ist auf die diesbezüglichen
gesetzlichen Bestimmungen der Datenschutzgrundverordnung (DSGVO)
bzw des Datenschutzgesetzes (DSG) zu </w:t>
            </w:r>
            <w:r>
              <w:rPr>
                <w:rFonts w:ascii="Arial" w:hAnsi="Arial" w:eastAsia="Arial" w:cs="Arial"/>
                <w:color w:val="000000"/>
                <w:position w:val="0"/>
                <w:sz w:val="20"/>
                <w:szCs w:val="20"/>
                <w:shd w:val="clear" w:color="auto" w:fill="FFFFFF"/>
              </w:rPr>
              <w:t xml:space="preserve">verweisen.</w:t>
            </w:r>
            <w:bookmarkStart w:id="5810258" w:name="link3"/>
            <w:bookmarkEnd w:id="5810258"/>
            <w:hyperlink w:anchor="note3" w:history="1">
              <w:r>
                <w:rPr>
                  <w:rFonts w:ascii="Arial" w:hAnsi="Arial" w:eastAsia="Arial" w:cs="Arial"/>
                  <w:b/>
                  <w:bCs/>
                  <w:color w:val="006BB6"/>
                  <w:position w:val="4"/>
                  <w:sz w:val="22"/>
                  <w:szCs w:val="22"/>
                  <w:shd w:val="clear" w:color="auto" w:fill="FFFFFF"/>
                  <w:vertAlign w:val="superscript"/>
                </w:rPr>
                <w:t xml:space="preserve">3</w:t>
              </w:r>
            </w:hyperlink>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Das Mobile-Device-Management-System wird zu folgenden Zwecken
eingesetzt:</w:t>
            </w:r>
          </w:p>
          <w:p>
            <w:pPr>
              <w:numPr>
                <w:ilvl w:val="0"/>
                <w:numId w:val="589161196"/>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Management der dienstlichen Daten und Programme</w:t>
            </w:r>
          </w:p>
          <w:p>
            <w:pPr>
              <w:numPr>
                <w:ilvl w:val="0"/>
                <w:numId w:val="589161196"/>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Überwachung der Einhaltung der IT-Sicherheitsstandards</w:t>
            </w:r>
          </w:p>
          <w:p>
            <w:pPr>
              <w:numPr>
                <w:ilvl w:val="0"/>
                <w:numId w:val="589161196"/>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Überwachung der Einhaltung des Datenschutzes</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Zur Sicherstellung der Einhaltung technischer und rechtlicher
Anforderungen werden vom Dienstgeber die technischen Eigenschaften
der jeweiligen privaten Hardware geprüft und registriert.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3.5</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Betriebsrat erhält eine jeweils aktuelle Liste aller
Dienstnehmer, die dem BYOD-Programm unterliegen.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4. Pflichten des Dienstnehmers</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Jeder Dienstnehmer haftet für alle Rechtsverletzungen, welche
unter Verwendung der jeweiligen privaten Hardware begangen werden,
darunter versteht man auch Lizenz- und/oder
Urheberrechtsverletzungen. Vor Aufnahme in das Programm hat jeder
Dienstnehmer eine Überprüfung vorzunehmen, ob die auf der privaten
Hardware installierte Software mit den jeweiligen
Datenschutzbestimmungen konform ist.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Jeden Dienstnehmer trifft die Verpflichtung, den Dienstgeber bei
IT-Sicherheitsvorfällen, Verlust oder Beschädigung der privaten
Hardware unverzüglich zu informieren.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von dem Dienstnehmer verwendeten Applikationen sind vor
Aufnahme in das Programm dahingehend zu prüfen, dass
datenschutzrechtliche Standards eingehalten werden können.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Nach der Bearbeitung von Daten ist sicherzustellen, dass eine
aktuelle Version auf dem Server des Dienstgebers gespeichert
ist.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4.5</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Dienstnehmer wird vor Installation eines Programmes, mit dem
auf die dienstlichen Daten der privaten Hardware zugegriffen werden
kann, eine entsprechende ausdrückliche Einwilligung erklären, ohne
welche die Verwendung privater Hardware nicht möglich ist. Eine
solche Kontrolle erfolgt ausschließlich zu dem Zweck, unberechtigte
Zugriffe auf die Daten und Anwendungen zu identifizieren oder
festzustellen, ob sich auf der privaten Hardware Schadprogramme
befinden. Ein Echtzeit-/Remotezugriff erfolgt ausschließlich nach
Beiziehen des Betriebsrats und jeweiliger Zustimmung des
Dienstnehmers.</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4.6</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Jeder Dienstnehmer verpflichtet sich dazu, darauf zu achten,
dass über andere Schnittstellen oder Programme (Bluetooth, USB,
Cloud-Dienste etc) kein Zugriff auf dienstliche Daten genommen
werden kann.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4.7</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Während der Teilnahme am BYOD-Programm ist die Nutzung der
privaten Hardware durch Dritte ausnahmslos unzulässig.</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4.8</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Das Prüfungs- und Kontrollrecht der oder des
Datenschutzbeauftragten umfasst auch private Hardware.</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5. Verwaltung der Daten auf der
privaten Hardware</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Jeder Dienstnehmer ist verpflichtet, den Anweisungen des Mobile
Device Management-Systems Folge zu leisten. Dies umfasst
insbesondere die Verpflichtung, notwendige Software zu installieren
sowie Updates vorzunehmen und keine Löschung der diesbezüglichen
Software ohne vorherige Zustimmung des Dienstgebers
vorzunehmen.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Verwaltung von privaten und dienstlichen Daten hat getrennt
zu erfolgen. Der Dienstnehmer hat darauf zu achten, dass eine
Vermischung von dienstlichen und privaten Daten nicht vorgenommen
werden kann. Der Dienstgeber hat das Mobile Device
Management-System so zu konfigurieren, dass eine Vermischung von
dienstlichen und privaten Daten im Rahmen des technisch Möglichen
vermieden wird. Die Erstellung von Sicherungskopien dienstlicher
Daten außerhalb des Betriebsnetzwerks ist in jeglicher Form
untersagt.</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6. Kostentragung, Haftung</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Alle in Zusammenhang mit der Anschaffung oder dem Betrieb der
privaten Hardware anfallenden Kosten hat der Dienstnehmer selber zu
tragen. Dazu zählen insbesondere die Kosten für die Anschaffung des
Gerätes sowie dessen Zubehör und Anwendungen, soweit diese nicht
vom Dienstgeber zur Verfügung zu stellen sind, sowie sämtliche
Kosten, die für die Nutzung des Gerätes entstehen.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Es besteht keine Haftung des Dienstgebers für Verlust oder
Beschädigung der privaten Hardware; dies gilt insbesondere für
installierte Anwendungen, private Daten oder sonstige Inhalte.</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Den Dienstnehmer trifft die Verpflichtung zum Ersatz aller im
Zusammenhang mit der Verwendung der privaten Hardware entstehender
Schäden, dies betrifft insbesondere Schäden aus
Datenschutzverletzungen.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7. Sicherheitsanforderungen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Dienstnehmer verpflichtet sich, jegliche
Sicherheitsanweisungen des Dienstgebers zu beachten und umgehend
umzusetzen.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Dienstnehmer verpflichtet sich, seine private Hardware stets
mit dem aktuellsten Virenschutzprogramm auszustatten.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Bei der Verwendung von Software achtet der Dienstnehmer
besonders auf die Erfüllung des Sicherheitsstandards und zeigt
jeglichen Verdachtsmoment auf unseriöse Quellen dem Dienstgeber
unverzüglich an.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Dienstnehmer billigt in die Installation von Programmen ein,
die eine Sperrung der privaten Hardware sowie die Fernlöschung von
betrieblichen Daten ermöglicht, sofern dies dem Schutz
betrieblicher Daten dient.</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Eine Fernlöschung ist insbesondere in folgenden Fällen
zulässig:</w:t>
            </w:r>
          </w:p>
          <w:p>
            <w:pPr>
              <w:numPr>
                <w:ilvl w:val="0"/>
                <w:numId w:val="486724952"/>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Bei Beschädigung oder Diebstahl der privaten Hardware</w:t>
            </w:r>
          </w:p>
          <w:p>
            <w:pPr>
              <w:numPr>
                <w:ilvl w:val="0"/>
                <w:numId w:val="486724952"/>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Bei zu häufiger Fehleingabe des PINs/Passwortes</w:t>
            </w:r>
          </w:p>
          <w:p>
            <w:pPr>
              <w:numPr>
                <w:ilvl w:val="0"/>
                <w:numId w:val="486724952"/>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Bei Beendigung des BYOD-Programms</w:t>
            </w:r>
          </w:p>
          <w:p>
            <w:pPr>
              <w:numPr>
                <w:ilvl w:val="0"/>
                <w:numId w:val="486724952"/>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Bei Beendigung des Dienstverhältnisses</w:t>
            </w:r>
          </w:p>
          <w:p>
            <w:pPr>
              <w:numPr>
                <w:ilvl w:val="0"/>
                <w:numId w:val="486724952"/>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Bei schwerwiegendem Verstoß des Dienstnehmers gegen seine
Pflichten hierunter</w:t>
            </w:r>
          </w:p>
          <w:p>
            <w:pPr>
              <w:numPr>
                <w:ilvl w:val="0"/>
                <w:numId w:val="486724952"/>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Bei sonstigen Verstößen gegen rechtlich zwingende Vorgaben,
insbesondere datenschutzrechtliche Verpflichtungen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7.5</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Eine solche Fernlöschung ist dem Dienstnehmer vor deren Vornahme
unverzüglich mitzuteilen, sodass dieser eine Sicherung seiner
privaten Daten rechtzeitig vornehmen kann. Kommt es im Zuge einer
solchen Fernlöschung von Daten zum Verlust privater Daten oder
Inhalte, trifft den Dienstgeber in diesem Zusammenhang keine
Haftung.</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8. Beendigung der Teilnahme am
BYOD-Programm</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8.1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Eine Beendigung an der Teilnahme am BYOD-Programm durch den
Dienstnehmer kann jederzeit ohne Angabe von Gründen erfolgen und
bedarf der Schriftform.</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8.2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Dienstgeber verpflichtet sich, jegliche im Zusammenhang mit
der Teilnahme am BYOD-Programm erhaltenen Daten, die die jeweilige
private Hardware betreffen, unverzüglich nach dem schriftlichen
Zugang der Beendigung durch den Dienstnehmer zu löschen. Der
Dienstnehmer hat im Fall des Ausscheidens aus dem BYOD-Programm
sämtliche dienstlichen Daten und Kontakte von seiner jeweiligen
privaten Hardware auf den Server des Dienstgebers zu überspielen,
sofern nicht eine automatische Synchronisation erfolgt.
Anschließend sind diese Daten von seiner jeweiligen privaten
Hardware unwiederbringlich zu löschen.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8.3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Dienstgeber kann die Teilnahme an dem BYOD-Programm in
schriftlicher Form widerrufen, wenn der Dienstnehmer durch den
Einsatz seiner privaten Hardware eine Datenschutzgefährdung
darstellt oder sonstige wichtige Gründe vorliegen.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8.4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Teilnahme am BYOD-Programm endet jedenfalls mit Beendigung
des jeweiligen Dienstverhältnisses. In diesem Fall gilt 8.2.</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9. Geltungsdauer</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9.1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Vereinbarung tritt am Tage der Unterzeichnung in Kraft und
endet am … ohne Nachwirkung.</w:t>
            </w:r>
          </w:p>
        </w:tc>
      </w:tr>
    </w:tbl>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Dienstgeber</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Betriebsrat</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1649829" w:name="note1"/>
            <w:bookmarkEnd w:id="21649829"/>
            <w:bookmarkStart w:id="9210866535096" w:name="note1"/>
            <w:r>
              <w:rPr>
                <w:rFonts w:ascii="Arial" w:hAnsi="Arial" w:eastAsia="Arial" w:cs="Arial"/>
                <w:b/>
                <w:bCs/>
                <w:color w:val="000000"/>
                <w:position w:val="0"/>
                <w:sz w:val="20"/>
                <w:szCs w:val="20"/>
              </w:rPr>
              <w:t xml:space="preserve">[1]</w:t>
            </w:r>
            <w:bookmarkEnd w:id="9210866535096"/>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Hinweis auf rechtliche Änderungen „Homeoffice-Gesetz“
(Arbeitsvertragsrechts-Anpassungsgesetz, Arbeitsverfassungsgesetz
ua, Änderung [94/ME]).</w:t>
            </w:r>
          </w:p>
          <w:p>
            <w:pPr>
              <w:widowControl w:val="on"/>
              <w:pBdr/>
              <w:spacing w:before="0" w:after="0" w:line="288" w:lineRule="auto"/>
              <w:ind w:left="0" w:right="0"/>
              <w:jc w:val="left"/>
              <w:textAlignment w:val="top"/>
            </w:pPr>
            <w:hyperlink w:anchor="link1"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7816360" w:name="note2"/>
            <w:bookmarkEnd w:id="87816360"/>
            <w:bookmarkStart w:id="4625338149332" w:name="note2"/>
            <w:r>
              <w:rPr>
                <w:rFonts w:ascii="Arial" w:hAnsi="Arial" w:eastAsia="Arial" w:cs="Arial"/>
                <w:b/>
                <w:bCs/>
                <w:color w:val="000000"/>
                <w:position w:val="0"/>
                <w:sz w:val="20"/>
                <w:szCs w:val="20"/>
              </w:rPr>
              <w:t xml:space="preserve">[2]</w:t>
            </w:r>
            <w:bookmarkEnd w:id="4625338149332"/>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Mobile Device Management (MDM) ist die zentralisierte Verwaltung
von mobilen Geräten wie Smartphones, Tablets und Notebooks im
Unternehmen. MDM beabsichtigt bei gleichzeitigem Schutz des
Unternehmensnetzwerks die Sicherheit und Funktionalität dieser
Geräte am Arbeitsplatz zu optimieren.</w:t>
            </w:r>
          </w:p>
          <w:p>
            <w:pPr>
              <w:widowControl w:val="on"/>
              <w:pBdr/>
              <w:spacing w:before="0" w:after="0" w:line="288" w:lineRule="auto"/>
              <w:ind w:left="0" w:right="0"/>
              <w:jc w:val="left"/>
              <w:textAlignment w:val="top"/>
            </w:pPr>
            <w:hyperlink w:anchor="link2"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8724008" w:name="note3"/>
            <w:bookmarkEnd w:id="58724008"/>
            <w:bookmarkStart w:id="3417928017361" w:name="note3"/>
            <w:r>
              <w:rPr>
                <w:rFonts w:ascii="Arial" w:hAnsi="Arial" w:eastAsia="Arial" w:cs="Arial"/>
                <w:b/>
                <w:bCs/>
                <w:color w:val="000000"/>
                <w:position w:val="0"/>
                <w:sz w:val="20"/>
                <w:szCs w:val="20"/>
              </w:rPr>
              <w:t xml:space="preserve">[3]</w:t>
            </w:r>
            <w:bookmarkEnd w:id="3417928017361"/>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Wichtig hier vor allem bestehende Informationspflichten über die
Art und die Dauer der personenbezogenen Datenverarbeitung.</w:t>
            </w:r>
          </w:p>
          <w:p>
            <w:pPr>
              <w:widowControl w:val="on"/>
              <w:pBdr/>
              <w:spacing w:before="0" w:after="0" w:line="288" w:lineRule="auto"/>
              <w:ind w:left="0" w:right="0"/>
              <w:jc w:val="left"/>
              <w:textAlignment w:val="top"/>
            </w:pPr>
            <w:hyperlink w:anchor="link3" w:history="1">
              <w:r>
                <w:rPr>
                  <w:rFonts w:ascii="Arial" w:hAnsi="Arial" w:eastAsia="Arial" w:cs="Arial"/>
                  <w:color w:val="006BB6"/>
                  <w:position w:val="0"/>
                  <w:sz w:val="20"/>
                  <w:szCs w:val="20"/>
                  <w:u w:val="single"/>
                </w:rPr>
                <w:t xml:space="preserve">Zurück</w:t>
              </w:r>
            </w:hyperlink>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6724952">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589161196">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526210703">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59925059">
    <w:multiLevelType w:val="hybridMultilevel"/>
    <w:lvl w:ilvl="0" w:tplc="43179007">
      <w:start w:val="1"/>
      <w:numFmt w:val="decimal"/>
      <w:lvlText w:val="%1."/>
      <w:lvlJc w:val="left"/>
      <w:pPr>
        <w:ind w:left="720" w:hanging="360"/>
      </w:pPr>
    </w:lvl>
    <w:lvl w:ilvl="1" w:tplc="43179007" w:tentative="1">
      <w:start w:val="1"/>
      <w:numFmt w:val="lowerLetter"/>
      <w:lvlText w:val="%2."/>
      <w:lvlJc w:val="left"/>
      <w:pPr>
        <w:ind w:left="1440" w:hanging="360"/>
      </w:pPr>
    </w:lvl>
    <w:lvl w:ilvl="2" w:tplc="43179007" w:tentative="1">
      <w:start w:val="1"/>
      <w:numFmt w:val="lowerRoman"/>
      <w:lvlText w:val="%3."/>
      <w:lvlJc w:val="right"/>
      <w:pPr>
        <w:ind w:left="2160" w:hanging="180"/>
      </w:pPr>
    </w:lvl>
    <w:lvl w:ilvl="3" w:tplc="43179007" w:tentative="1">
      <w:start w:val="1"/>
      <w:numFmt w:val="decimal"/>
      <w:lvlText w:val="%4."/>
      <w:lvlJc w:val="left"/>
      <w:pPr>
        <w:ind w:left="2880" w:hanging="360"/>
      </w:pPr>
    </w:lvl>
    <w:lvl w:ilvl="4" w:tplc="43179007" w:tentative="1">
      <w:start w:val="1"/>
      <w:numFmt w:val="lowerLetter"/>
      <w:lvlText w:val="%5."/>
      <w:lvlJc w:val="left"/>
      <w:pPr>
        <w:ind w:left="3600" w:hanging="360"/>
      </w:pPr>
    </w:lvl>
    <w:lvl w:ilvl="5" w:tplc="43179007" w:tentative="1">
      <w:start w:val="1"/>
      <w:numFmt w:val="lowerRoman"/>
      <w:lvlText w:val="%6."/>
      <w:lvlJc w:val="right"/>
      <w:pPr>
        <w:ind w:left="4320" w:hanging="180"/>
      </w:pPr>
    </w:lvl>
    <w:lvl w:ilvl="6" w:tplc="43179007" w:tentative="1">
      <w:start w:val="1"/>
      <w:numFmt w:val="decimal"/>
      <w:lvlText w:val="%7."/>
      <w:lvlJc w:val="left"/>
      <w:pPr>
        <w:ind w:left="5040" w:hanging="360"/>
      </w:pPr>
    </w:lvl>
    <w:lvl w:ilvl="7" w:tplc="43179007" w:tentative="1">
      <w:start w:val="1"/>
      <w:numFmt w:val="lowerLetter"/>
      <w:lvlText w:val="%8."/>
      <w:lvlJc w:val="left"/>
      <w:pPr>
        <w:ind w:left="5760" w:hanging="360"/>
      </w:pPr>
    </w:lvl>
    <w:lvl w:ilvl="8" w:tplc="43179007" w:tentative="1">
      <w:start w:val="1"/>
      <w:numFmt w:val="lowerRoman"/>
      <w:lvlText w:val="%9."/>
      <w:lvlJc w:val="right"/>
      <w:pPr>
        <w:ind w:left="6480" w:hanging="180"/>
      </w:pPr>
    </w:lvl>
  </w:abstractNum>
  <w:abstractNum w:abstractNumId="59925058">
    <w:multiLevelType w:val="hybridMultilevel"/>
    <w:lvl w:ilvl="0" w:tplc="811154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925058">
    <w:abstractNumId w:val="59925058"/>
  </w:num>
  <w:num w:numId="59925059">
    <w:abstractNumId w:val="59925059"/>
  </w:num>
  <w:num w:numId="526210703">
    <w:abstractNumId w:val="526210703"/>
  </w:num>
  <w:num w:numId="589161196">
    <w:abstractNumId w:val="589161196"/>
  </w:num>
  <w:num w:numId="486724952">
    <w:abstractNumId w:val="4867249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360389968" Type="http://schemas.openxmlformats.org/officeDocument/2006/relationships/numbering" Target="numbering.xml"/><Relationship Id="rId336311429"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