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9780452" w:name="document"/>
    <w:bookmarkEnd w:id="69780452"/>
    <w:p/>
    <w:p>
      <w:pPr>
        <w:widowControl w:val="on"/>
        <w:pBdr/>
        <w:spacing w:before="0" w:after="280" w:line="240" w:lineRule="auto"/>
        <w:ind w:left="0" w:right="0"/>
        <w:jc w:val="left"/>
      </w:pPr>
      <w:r>
        <w:rPr>
          <w:rFonts w:ascii="Arial" w:hAnsi="Arial" w:eastAsia="Arial" w:cs="Arial"/>
          <w:color w:val="363A40"/>
          <w:sz w:val="24"/>
          <w:szCs w:val="24"/>
        </w:rPr>
        <w:t xml:space="preserve">Dokument-ID: 1095923 | Andreas Gerhartl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Nebenbeschäftigung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Richtlinien zur Ausübung einer
Nebenbeschäftigung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Unter einer Nebenbeschäftigung werden andere (selbständige oder
unselbständige) Erwerbstätigkeiten verstanden, denen der
Arbeitnehmer im aufrechten Arbeitsverhältnis nachgeht. Der
Vertragspartner ist in diesem Fall also nicht der Arbeitgeber des
„Hauptarbeitsverhältnisses“. Im Unterschied dazu wird eine
Nebentätigkeit im Auftrag des Arbeitgebers ausgeübt, hat aber einen
anderen Aufgabenbereich als den arbeitsvertraglich vereinbarten
Aufgabenkreis zum Inhalt. Nach Beendigung des Arbeitsverhältnisses
kann der Arbeitnehmer – in Ausübung seines Rechts auf
Erwerbsfreiheit – prinzipiell wieder eine andere Tätigkeit
aufnehmen. Beschränkungen dieses Rechts sind nur in bestimmten
Grenzen möglich. So enthalten die §§ 36 ff AngG Vorgaben für
die Zulässigkeit der Vereinbarung einer derartigen
„Konkurrenzklausel“.</w:t>
      </w:r>
    </w:p>
    <w:p>
      <w:pPr>
        <w:widowControl w:val="on"/>
        <w:pBdr/>
        <w:spacing w:before="140" w:after="240" w:line="288" w:lineRule="auto"/>
        <w:ind w:left="0" w:right="0"/>
        <w:jc w:val="left"/>
      </w:pPr>
      <w:r>
        <w:rPr>
          <w:rFonts w:ascii="Arial" w:hAnsi="Arial" w:eastAsia="Arial" w:cs="Arial"/>
          <w:color w:val="000000"/>
          <w:sz w:val="20"/>
          <w:szCs w:val="20"/>
        </w:rPr>
        <w:t xml:space="preserve">Gesetzliche Beschränkungen der Aufnahme einer Nebenbeschäftigung
enthält vor allem § 7 AngG (Konkurrenzverbot). Demnach dürfen
Angestellte ohne Bewilligung des Dienstgebers weder ein
selbstständiges kaufmännisches Unternehmen betreiben noch in dem
Geschäftszweig des Dienstgebers für eigene oder fremde Rechnung
Handelsgeschäfte machen. Übertritt der Angestellte diese
Vorschrift, so kann der Dienstgeber Ersatz des verursachten
Schadens fordern oder stattdessen verlangen, dass die für Rechnung
des Angestellten gemachten Geschäfte als für seine Rechnung
geschlossen angesehen werden. Bezüglich der für fremde Rechnung
geschlossenen Geschäfte kann er die Herausgabe der hiefür bezogenen
Vergütung oder Abtretung des Anspruches auf Vergütung begehren.</w:t>
      </w:r>
    </w:p>
    <w:p>
      <w:pPr>
        <w:widowControl w:val="on"/>
        <w:pBdr/>
        <w:spacing w:before="140" w:after="240" w:line="288" w:lineRule="auto"/>
        <w:ind w:left="0" w:right="0"/>
        <w:jc w:val="left"/>
      </w:pPr>
      <w:r>
        <w:rPr>
          <w:rFonts w:ascii="Arial" w:hAnsi="Arial" w:eastAsia="Arial" w:cs="Arial"/>
          <w:color w:val="000000"/>
          <w:sz w:val="20"/>
          <w:szCs w:val="20"/>
        </w:rPr>
        <w:t xml:space="preserve">Angestellten, die bei Ziviltechniker beschäftigt sind, ist es
untersagt, ohne Einwilligung des Dienstgebers Aufträge, die in das
Gebiet der geschäftlichen Tätigkeit des Dienstgebers fallen, auf
eigene oder fremde Rechnung zu übernehmen, sofern dadurch das
geschäftliche Interesse des Dienstgebers beeinträchtigt wird;
ferner ist ihnen untersagt, ohne Einwilligung des Dienstgebers
gleichzeitig mit diesem an einem und demselben Wettbewerb
teilzunehmen. Übertritt der Angestellte diese Vorschrift, so kann
der Dienstgeber Ersatz des verursachten Schadens fordern. Arbeiter
dürfen ohne Einwilligung des Arbeitgebers kein „abträgliches
Nebengeschäft" betreiben. Eine Nebenbeschäftigung ist dann
abträglich, wenn der Arbeitgeber durch sie Nachteile hat (zB
„Schwarzarbeit“).</w:t>
      </w:r>
    </w:p>
    <w:p>
      <w:pPr>
        <w:widowControl w:val="on"/>
        <w:pBdr/>
        <w:spacing w:before="140" w:after="240" w:line="288" w:lineRule="auto"/>
        <w:ind w:left="0" w:right="0"/>
        <w:jc w:val="left"/>
      </w:pPr>
      <w:r>
        <w:rPr>
          <w:rFonts w:ascii="Arial" w:hAnsi="Arial" w:eastAsia="Arial" w:cs="Arial"/>
          <w:color w:val="000000"/>
          <w:sz w:val="20"/>
          <w:szCs w:val="20"/>
        </w:rPr>
        <w:t xml:space="preserve">Die Ausübung einer unzulässigen Nebenbeschäftigung kann einen
Entlassungsgrund darstellen. Bspw ist der Arbeitgeber zur
Entlassung berechtigt, wenn ein Angestellter ohne dessen
Einwilligung ein selbstständiges kaufmännisches Unternehmen
betreibt oder im Geschäftszweig des Arbeitgebers für eigene oder
fremde Rechnung Handelsgeschäfte abschließt (§ 27 Z 3
AngG). Ein Arbeiter kann entlassen werden, wenn er ohne
Einwilligung des Gewerbeinhabers ein der Verwendung beim Gewerbe
abträgliches Nebengeschäft betreibt (§ 82 lit e GewO
1859).</w:t>
      </w:r>
    </w:p>
    <w:p>
      <w:pPr>
        <w:widowControl w:val="on"/>
        <w:pBdr/>
        <w:spacing w:before="140" w:after="240" w:line="288" w:lineRule="auto"/>
        <w:ind w:left="0" w:right="0"/>
        <w:jc w:val="left"/>
      </w:pPr>
      <w:r>
        <w:rPr>
          <w:rFonts w:ascii="Arial" w:hAnsi="Arial" w:eastAsia="Arial" w:cs="Arial"/>
          <w:color w:val="000000"/>
          <w:sz w:val="20"/>
          <w:szCs w:val="20"/>
        </w:rPr>
        <w:t xml:space="preserve">Unabhängig vom Bestehen gesetzlicher Verbote hat der Arbeitgeber
in der Regel ein Interesse daran, zu wissen, ob und wenn ja welche
Nebenbeschäftigungen der Arbeitnehmer eingeht. Dieses Interesse
kann sich etwa schon daraus ergeben, um für eine Einhaltung der
Höchstarbeitszeiten Sorge tragen zu können. Aber auch andere
Interessen des Arbeitgebers (zB seine Reputation) könnten durch
bestimmte Nebenbeschäftigungen beeinträchtigt werden. Aufgrund der
Treuepflicht muss der Arbeitnehmer auf derartige Interessen Bedacht
nehmen, soweit ihm dies zumutbar ist (also nicht die
entgegenstehenden Interessen des Arbeitnehmers überwiegen).</w:t>
      </w:r>
    </w:p>
    <w:p>
      <w:pPr>
        <w:widowControl w:val="on"/>
        <w:pBdr/>
        <w:spacing w:before="140" w:after="240" w:line="288" w:lineRule="auto"/>
        <w:ind w:left="0" w:right="0"/>
        <w:jc w:val="left"/>
      </w:pPr>
      <w:r>
        <w:rPr>
          <w:rFonts w:ascii="Arial" w:hAnsi="Arial" w:eastAsia="Arial" w:cs="Arial"/>
          <w:color w:val="000000"/>
          <w:sz w:val="20"/>
          <w:szCs w:val="20"/>
        </w:rPr>
        <w:t xml:space="preserve">Eine Prüfung, ob die Interessen des Arbeitgebers durch eine
Nebenbeschäftigung tangiert werden, kann meistens nur anhand der
konkret infrage stehenden Beschäftigung, also im Einzelfall,
durchgeführt werden, da dies stark von individuellen Aspekten (zB
Tätigkeitsbereich des Arbeitgebers, Art der Nebenbeschäftigung,
Stellung des Arbeitnehmers in der innerbetrieblichen Hierarchie
etc) abhängt. Sinnvoller als die Festlegung genereller Verbote
erscheint daher die Einführung einer Verpflichtung für den
Arbeitnehmer, die Absicht, eine Nebenbeschäftigung aufzunehmen, zu
melden. Der Arbeitgeber kann daraufhin prüfen, ob die beabsichtigte
Tätigkeit seine Interessen verletzt, und sie bejahendenfalls
untersagen. Das bedeutet, dass die Nebenbeschäftigung aus der Sicht
des Arbeitgebers unzulässig ist. Nimmt sie der Arbeitnehmer dennoch
auf, müssen darüber im Streitfall die Gerichte entscheiden.</w:t>
      </w:r>
    </w:p>
    <w:p>
      <w:pPr>
        <w:widowControl w:val="on"/>
        <w:pBdr/>
        <w:spacing w:before="140" w:after="240" w:line="288" w:lineRule="auto"/>
        <w:ind w:left="0" w:right="0"/>
        <w:jc w:val="left"/>
      </w:pPr>
      <w:r>
        <w:rPr>
          <w:rFonts w:ascii="Arial" w:hAnsi="Arial" w:eastAsia="Arial" w:cs="Arial"/>
          <w:color w:val="000000"/>
          <w:sz w:val="20"/>
          <w:szCs w:val="20"/>
        </w:rPr>
        <w:t xml:space="preserve">Für die Regelung einer Materie durch eine Betriebsvereinbarung
bedarf es einer Ermächtigung durch Gesetz oder KollV. Wird eine
Betriebsvereinbarung ohne Vorliegen eines derartigen
Kompetenztatbestandes geschlossen, liegt eine so genannte „freie“
oder „unechte“ Betriebsvereinbarung vor, die als Vertragsschablone
fungiert und auf diesem Weg schlüssiger Bestandteil der einzelnen
Arbeitsverträge werden kann. Als Alternative bietet sich in diesem
Fall die Erlassung allgemeiner Arbeitgeber-Richtlinien an. Diese
können entweder Inhalt der jeweiligen Arbeitsverträge werden, indem
deren Geltung im Arbeitsvertrag vereinbart wird. Eine andere
Variante wäre die einseitige Festlegung von Rahmenbedingungen durch
den Arbeitgeber in Form „Allgemeiner Vertragsbedingungen“. Dies
ergänzen die Arbeitsverträge und haben – soweit sie Anordnungen an
die Arbeitnehmer beinhalten – Weisungscharakter. Auf die Geltung
dieser „Allgemeinen Vertragsbedingungen“ sollte im Arbeitsvertrag
bzw Dienstzettel hingewiesen werden. Weiters ist wesentlich, dass
diese Richtlinien im Betrieb allgemein zugänglich sind und daher
von den Arbeitnehmern jederzeit eingesehen werden können.</w:t>
      </w:r>
    </w:p>
    <w:p>
      <w:r>
        <w:pict>
          <v:rect id="_x0000_i1026" style="width:0;height:1.5pt" o:hralign="center" o:hrstd="t" o:hr="t" o:hrnoshade="t" fillcolor="#a0a0a0" stroked="f"/>
        </w:pic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Allgemeine Richtlinien des
Arbeitgebers für die Ausübung einer Nebenbeschäftigung</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 Geltungsbereich</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Diese Richtlinien gelten für alle Arbeitnehmer des
Arbeitgebers.</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Diese Richtlinien gelten grundsätzlich für alle Arbeitnehmer des
Arbeitgebers, ausgenommen …</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3:</w:t>
      </w:r>
    </w:p>
    <w:p>
      <w:pPr>
        <w:widowControl w:val="on"/>
        <w:pBdr/>
        <w:spacing w:before="140" w:after="240" w:line="288" w:lineRule="auto"/>
        <w:ind w:left="0" w:right="0"/>
        <w:jc w:val="left"/>
      </w:pPr>
      <w:r>
        <w:rPr>
          <w:rFonts w:ascii="Arial" w:hAnsi="Arial" w:eastAsia="Arial" w:cs="Arial"/>
          <w:color w:val="277DB9"/>
          <w:sz w:val="20"/>
          <w:szCs w:val="20"/>
        </w:rPr>
        <w:t xml:space="preserve">Diese Richtlinien gelten für folgende Arbeitnehmergruppen:
…/folgende Betriebsbereiche: …</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2. Rechtliche Qualifikation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Diese Richtlinien stellen allgemeine Weisungen des Arbeitgebers
dar und ergänzen auf diese Weise den Inhalt des
Arbeitsvertrages.</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Diese Richtlinien stellen Allgemeine Vertragsbedingungen dar und
werden im Wege der Vereinbarung Inhalt der jeweiligen
Arbeitsverträge.</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3. Inhaltliche Ausgestaltung</w:t>
      </w:r>
    </w:p>
    <w:p>
      <w:pPr>
        <w:widowControl w:val="on"/>
        <w:pBdr/>
        <w:spacing w:before="140" w:after="240" w:line="288" w:lineRule="auto"/>
        <w:ind w:left="0" w:right="0"/>
        <w:jc w:val="left"/>
      </w:pPr>
      <w:r>
        <w:rPr>
          <w:rFonts w:ascii="Arial" w:hAnsi="Arial" w:eastAsia="Arial" w:cs="Arial"/>
          <w:color w:val="000000"/>
          <w:sz w:val="20"/>
          <w:szCs w:val="20"/>
        </w:rPr>
        <w:t xml:space="preserve">Unter einer Nebenbeschäftigung wird die Ausübung einer anderen
als in diesem Arbeitsvertrag vereinbarten selbstständigen oder
unselbständigen Erwerbstätigkeit verstanden. Das
Beschäftigungsausmaß und das daraus (voraussichtlich) erzielte
Einkommen spielen für die Qualifikation als Nebentätigkeit keine
Rolle. Fakultativ: Eine Nebenbeschäftigung liegt aber nur vor, wenn
beabsichtigt ist, dass die Tätigkeit zumindest … (zB vier Wochen)
andauert (bei Überschreitung dieses Zeitraums liegt jedenfalls eine
Nebenbeschäftigung vor).</w:t>
      </w:r>
    </w:p>
    <w:p>
      <w:pPr>
        <w:widowControl w:val="on"/>
        <w:pBdr/>
        <w:spacing w:before="140" w:after="240" w:line="288" w:lineRule="auto"/>
        <w:ind w:left="0" w:right="0"/>
        <w:jc w:val="left"/>
      </w:pPr>
      <w:r>
        <w:rPr>
          <w:rFonts w:ascii="Arial" w:hAnsi="Arial" w:eastAsia="Arial" w:cs="Arial"/>
          <w:color w:val="000000"/>
          <w:sz w:val="20"/>
          <w:szCs w:val="20"/>
        </w:rPr>
        <w:t xml:space="preserve">Fakultativ: Über die gesetzlichen Beschränkungen
(Konkurrenzverbote) hinaus sind jedenfalls folgende
Nebenbeschäftigungen untersagt: …</w:t>
      </w:r>
    </w:p>
    <w:p>
      <w:pPr>
        <w:widowControl w:val="on"/>
        <w:pBdr/>
        <w:spacing w:before="140" w:after="240" w:line="288" w:lineRule="auto"/>
        <w:ind w:left="0" w:right="0"/>
        <w:jc w:val="left"/>
      </w:pPr>
      <w:r>
        <w:rPr>
          <w:rFonts w:ascii="Arial" w:hAnsi="Arial" w:eastAsia="Arial" w:cs="Arial"/>
          <w:color w:val="000000"/>
          <w:sz w:val="20"/>
          <w:szCs w:val="20"/>
        </w:rPr>
        <w:t xml:space="preserve">Der Arbeitnehmer muss die Absicht, eine Nebenbeschäftigung, die
nicht ohnehin (zB aufgrund gesetzlicher Vorgaben) jedenfalls
untersagt ist, aufzunehmen, unverzüglich/innerhalb von … (zB
spätestens sieben Tage vor dem beabsichtigten Beginn) (fakultativ:
unter Verwendung des dafür im Betrieb aufliegenden Formulares)
melden.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Erklärt der Arbeitgeber nicht innerhalb von … (zB sieben
Arbeitstagen), dass Bedenken gegen die beabsichtigte
Nebenbeschäftigung bestehen, so stimmt er dieser zu.</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Der Arbeitgeber reagiert in jedem Fall auf die Meldung, indem er
erklärt, dass keine Bedenken gegen die beabsichtigte
Nebenbeschäftigung bestehen, oder indem er deren Aufnahme wegen
entgegenstehender betrieblicher Interessen untersagt. Solange keine
Antwort des Arbeitgebers vorliegt, ist die Aufnahme der
Nebenbeschäftigung unzulässig. Nimmt der Arbeitnehmer die
Nebenbeschäftigung trotz deren Untersagung durch den Arbeitgeber
auf, ist auch dieser Umstand meldepflichtig.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Inkrafttreten</w:t>
      </w:r>
    </w:p>
    <w:p>
      <w:pPr>
        <w:widowControl w:val="on"/>
        <w:pBdr/>
        <w:spacing w:before="140" w:after="240" w:line="288" w:lineRule="auto"/>
        <w:ind w:left="0" w:right="0"/>
        <w:jc w:val="left"/>
      </w:pPr>
      <w:r>
        <w:rPr>
          <w:rFonts w:ascii="Arial" w:hAnsi="Arial" w:eastAsia="Arial" w:cs="Arial"/>
          <w:color w:val="000000"/>
          <w:sz w:val="20"/>
          <w:szCs w:val="20"/>
        </w:rPr>
        <w:t xml:space="preserve">Diese Richtlinien treten am … in Kraft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 Arbeitgeber]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7268977" w:name="note1"/>
            <w:bookmarkEnd w:id="97268977"/>
            <w:bookmarkStart w:id="9972626611" w:name="note1"/>
            <w:r>
              <w:rPr>
                <w:rFonts w:ascii="Arial" w:hAnsi="Arial" w:eastAsia="Arial" w:cs="Arial"/>
                <w:b/>
                <w:bCs/>
                <w:color w:val="000000"/>
                <w:position w:val="0"/>
                <w:sz w:val="20"/>
                <w:szCs w:val="20"/>
              </w:rPr>
              <w:t xml:space="preserve">[1]</w:t>
            </w:r>
            <w:bookmarkEnd w:id="997262661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Arbeitgeber kann die Richtlinien daher in diesem Fall auch
einseitig abändern.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5253956" w:name="note2"/>
            <w:bookmarkEnd w:id="55253956"/>
            <w:bookmarkStart w:id="4914313511894" w:name="note2"/>
            <w:r>
              <w:rPr>
                <w:rFonts w:ascii="Arial" w:hAnsi="Arial" w:eastAsia="Arial" w:cs="Arial"/>
                <w:b/>
                <w:bCs/>
                <w:color w:val="000000"/>
                <w:position w:val="0"/>
                <w:sz w:val="20"/>
                <w:szCs w:val="20"/>
              </w:rPr>
              <w:t xml:space="preserve">[2]</w:t>
            </w:r>
            <w:bookmarkEnd w:id="491431351189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Unterschied zur Variante 1 besteht darin, dass die Geltung
der Richtlinien in diesem Fall im Arbeitsvertrag vereinbart werden
muss. Darin sollte auch festgehalten werden, ob diese Richtlinien
in der jeweils aktuellen oder der zum Zeitpunkt der Begründung des
Arbeitsverhältnisses maßgebenden Fassung gelten.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4863590" w:name="note3"/>
            <w:bookmarkEnd w:id="44863590"/>
            <w:bookmarkStart w:id="2233522941141" w:name="note3"/>
            <w:r>
              <w:rPr>
                <w:rFonts w:ascii="Arial" w:hAnsi="Arial" w:eastAsia="Arial" w:cs="Arial"/>
                <w:b/>
                <w:bCs/>
                <w:color w:val="000000"/>
                <w:position w:val="0"/>
                <w:sz w:val="20"/>
                <w:szCs w:val="20"/>
              </w:rPr>
              <w:t xml:space="preserve">[3]</w:t>
            </w:r>
            <w:bookmarkEnd w:id="223352294114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Passage kann sinnvoll sein, um zu verhindern, dass auch sehr
kurze (zB nur wenige Tage andauernde) Tätigkeiten gemeldet werden
müssen, die allenfalls bereits beendet sind, bevor der Arbeitgeber
prüfen kann, ob ein Untersagungsgrund vorliegt.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9941116" w:name="note4"/>
            <w:bookmarkEnd w:id="69941116"/>
            <w:bookmarkStart w:id="3092658689310" w:name="note4"/>
            <w:r>
              <w:rPr>
                <w:rFonts w:ascii="Arial" w:hAnsi="Arial" w:eastAsia="Arial" w:cs="Arial"/>
                <w:b/>
                <w:bCs/>
                <w:color w:val="000000"/>
                <w:position w:val="0"/>
                <w:sz w:val="20"/>
                <w:szCs w:val="20"/>
              </w:rPr>
              <w:t xml:space="preserve">[4]</w:t>
            </w:r>
            <w:bookmarkEnd w:id="309265868931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Variante hat dann Sinn, wenn bestimmte Kategorien von
Nebenbeschäftigungen identifiziert werden können, die jedenfalls
den betrieblichen Interessen abträglich (und daher unerlaubt)
sind.</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6295578" w:name="note5"/>
            <w:bookmarkEnd w:id="36295578"/>
            <w:bookmarkStart w:id="4875052559934" w:name="note5"/>
            <w:r>
              <w:rPr>
                <w:rFonts w:ascii="Arial" w:hAnsi="Arial" w:eastAsia="Arial" w:cs="Arial"/>
                <w:b/>
                <w:bCs/>
                <w:color w:val="000000"/>
                <w:position w:val="0"/>
                <w:sz w:val="20"/>
                <w:szCs w:val="20"/>
              </w:rPr>
              <w:t xml:space="preserve">[5]</w:t>
            </w:r>
            <w:bookmarkEnd w:id="487505255993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Variante ist „unbürokratisch“, birgt aber das Risiko, dass
die Meldung oder die (ablehnende) Antwort des Arbeitgebers verloren
gegangen sein könnten.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1852373" w:name="note6"/>
            <w:bookmarkEnd w:id="31852373"/>
            <w:bookmarkStart w:id="9753200633416" w:name="note6"/>
            <w:r>
              <w:rPr>
                <w:rFonts w:ascii="Arial" w:hAnsi="Arial" w:eastAsia="Arial" w:cs="Arial"/>
                <w:b/>
                <w:bCs/>
                <w:color w:val="000000"/>
                <w:position w:val="0"/>
                <w:sz w:val="20"/>
                <w:szCs w:val="20"/>
              </w:rPr>
              <w:t xml:space="preserve">[6]</w:t>
            </w:r>
            <w:bookmarkEnd w:id="975320063341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Arbeitgeber muss versuchen, so schnell wie möglich
(jedenfalls noch vor Beginn der beabsichtigten Nebenbeschäftigung)
zu antworten.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9789579" w:name="note7"/>
            <w:bookmarkEnd w:id="69789579"/>
            <w:bookmarkStart w:id="5336139224489" w:name="note7"/>
            <w:r>
              <w:rPr>
                <w:rFonts w:ascii="Arial" w:hAnsi="Arial" w:eastAsia="Arial" w:cs="Arial"/>
                <w:b/>
                <w:bCs/>
                <w:color w:val="000000"/>
                <w:position w:val="0"/>
                <w:sz w:val="20"/>
                <w:szCs w:val="20"/>
              </w:rPr>
              <w:t xml:space="preserve">[7]</w:t>
            </w:r>
            <w:bookmarkEnd w:id="533613922448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Hat eher klarstellenden Charakter, da der Arbeitnehmer dazu wohl
auch schon aufgrund der Treuepflicht gehalten wäre. Der Arbeitgeber
muss daraufhin entscheiden, ob er Konsequenzen einleitet (zB eine
Entlassung ausspricht).</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90467">
    <w:multiLevelType w:val="hybridMultilevel"/>
    <w:lvl w:ilvl="0" w:tplc="98635300">
      <w:start w:val="1"/>
      <w:numFmt w:val="decimal"/>
      <w:lvlText w:val="%1."/>
      <w:lvlJc w:val="left"/>
      <w:pPr>
        <w:ind w:left="720" w:hanging="360"/>
      </w:pPr>
    </w:lvl>
    <w:lvl w:ilvl="1" w:tplc="98635300" w:tentative="1">
      <w:start w:val="1"/>
      <w:numFmt w:val="lowerLetter"/>
      <w:lvlText w:val="%2."/>
      <w:lvlJc w:val="left"/>
      <w:pPr>
        <w:ind w:left="1440" w:hanging="360"/>
      </w:pPr>
    </w:lvl>
    <w:lvl w:ilvl="2" w:tplc="98635300" w:tentative="1">
      <w:start w:val="1"/>
      <w:numFmt w:val="lowerRoman"/>
      <w:lvlText w:val="%3."/>
      <w:lvlJc w:val="right"/>
      <w:pPr>
        <w:ind w:left="2160" w:hanging="180"/>
      </w:pPr>
    </w:lvl>
    <w:lvl w:ilvl="3" w:tplc="98635300" w:tentative="1">
      <w:start w:val="1"/>
      <w:numFmt w:val="decimal"/>
      <w:lvlText w:val="%4."/>
      <w:lvlJc w:val="left"/>
      <w:pPr>
        <w:ind w:left="2880" w:hanging="360"/>
      </w:pPr>
    </w:lvl>
    <w:lvl w:ilvl="4" w:tplc="98635300" w:tentative="1">
      <w:start w:val="1"/>
      <w:numFmt w:val="lowerLetter"/>
      <w:lvlText w:val="%5."/>
      <w:lvlJc w:val="left"/>
      <w:pPr>
        <w:ind w:left="3600" w:hanging="360"/>
      </w:pPr>
    </w:lvl>
    <w:lvl w:ilvl="5" w:tplc="98635300" w:tentative="1">
      <w:start w:val="1"/>
      <w:numFmt w:val="lowerRoman"/>
      <w:lvlText w:val="%6."/>
      <w:lvlJc w:val="right"/>
      <w:pPr>
        <w:ind w:left="4320" w:hanging="180"/>
      </w:pPr>
    </w:lvl>
    <w:lvl w:ilvl="6" w:tplc="98635300" w:tentative="1">
      <w:start w:val="1"/>
      <w:numFmt w:val="decimal"/>
      <w:lvlText w:val="%7."/>
      <w:lvlJc w:val="left"/>
      <w:pPr>
        <w:ind w:left="5040" w:hanging="360"/>
      </w:pPr>
    </w:lvl>
    <w:lvl w:ilvl="7" w:tplc="98635300" w:tentative="1">
      <w:start w:val="1"/>
      <w:numFmt w:val="lowerLetter"/>
      <w:lvlText w:val="%8."/>
      <w:lvlJc w:val="left"/>
      <w:pPr>
        <w:ind w:left="5760" w:hanging="360"/>
      </w:pPr>
    </w:lvl>
    <w:lvl w:ilvl="8" w:tplc="98635300" w:tentative="1">
      <w:start w:val="1"/>
      <w:numFmt w:val="lowerRoman"/>
      <w:lvlText w:val="%9."/>
      <w:lvlJc w:val="right"/>
      <w:pPr>
        <w:ind w:left="6480" w:hanging="180"/>
      </w:pPr>
    </w:lvl>
  </w:abstractNum>
  <w:abstractNum w:abstractNumId="26890466">
    <w:multiLevelType w:val="hybridMultilevel"/>
    <w:lvl w:ilvl="0" w:tplc="18176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90466">
    <w:abstractNumId w:val="26890466"/>
  </w:num>
  <w:num w:numId="26890467">
    <w:abstractNumId w:val="268904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36843851" Type="http://schemas.openxmlformats.org/officeDocument/2006/relationships/numbering" Target="numbering.xml"/><Relationship Id="rId20880631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