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3767294" w:name="document"/>
    <w:bookmarkEnd w:id="43767294"/>
    <w:p/>
    <w:p>
      <w:pPr>
        <w:widowControl w:val="on"/>
        <w:pBdr/>
        <w:spacing w:before="0" w:after="280" w:line="240" w:lineRule="auto"/>
        <w:ind w:left="0" w:right="0"/>
        <w:jc w:val="left"/>
      </w:pPr>
      <w:r>
        <w:rPr>
          <w:rFonts w:ascii="Arial" w:hAnsi="Arial" w:eastAsia="Arial" w:cs="Arial"/>
          <w:color w:val="363A40"/>
          <w:sz w:val="24"/>
          <w:szCs w:val="24"/>
        </w:rPr>
        <w:t xml:space="preserve">Dokument-ID: 1045339 | Sylvia Unger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Pflegekarenzvereinbarung gem § 14c AVRAG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Arbeitnehmer können in die Situation kommen, dass nahe Angehörige
einer plötzlichen Pflege und/oder Betreuung bedürfen. Aus diesem
Grund können Arbeitgeber und Arbeitnehmer eine Pflegekarenz gem
§ 14c AVRAG oder Pflegeteilzeit gem § 14d AVRAG gegen
Entfall des Arbeitsentgeltes zum Zwecke der Pflege oder Betreuung
eines/einer nahen Angehörigen schriftlich vereinbaren.</w:t>
      </w:r>
    </w:p>
    <w:p>
      <w:pPr>
        <w:widowControl w:val="on"/>
        <w:pBdr/>
        <w:spacing w:before="140" w:after="240" w:line="288" w:lineRule="auto"/>
        <w:ind w:left="0" w:right="0"/>
        <w:jc w:val="left"/>
      </w:pPr>
      <w:r>
        <w:rPr>
          <w:rFonts w:ascii="Arial" w:hAnsi="Arial" w:eastAsia="Arial" w:cs="Arial"/>
          <w:color w:val="000000"/>
          <w:sz w:val="20"/>
          <w:szCs w:val="20"/>
        </w:rPr>
        <w:t xml:space="preserve">Der Unterschied zwischen Pflegekarenz und Pflegeteilzeit ist,
dass</w:t>
      </w:r>
    </w:p>
    <w:p>
      <w:pPr>
        <w:numPr>
          <w:ilvl w:val="0"/>
          <w:numId w:val="9218203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Pflegekarenz die Arbeitsleistung vollständig ruht und
das Arbeitsentgelt vollständig entfällt und</w:t>
      </w:r>
    </w:p>
    <w:p>
      <w:pPr>
        <w:numPr>
          <w:ilvl w:val="0"/>
          <w:numId w:val="9218203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Pflegeteilzeit die Arbeitspflicht um das vereinbarte
Ausmaß ruht und das Arbeitsentgelt entsprechend aliqoutiert
wird.</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kann eine Pflegekarenz (§ 14c AVRAG) oder
Pflegeteilzeit (§ 14d AVRAG) in Anspruch nehmen, wenn</w:t>
      </w:r>
    </w:p>
    <w:p>
      <w:pPr>
        <w:numPr>
          <w:ilvl w:val="0"/>
          <w:numId w:val="4206332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Arbeitsverhältnis ununterbrochen 3 Monate andauerte,</w:t>
      </w:r>
    </w:p>
    <w:p>
      <w:pPr>
        <w:numPr>
          <w:ilvl w:val="0"/>
          <w:numId w:val="4206332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schriftliche Vereinbarung zwischen Arbeitnehmer und
Arbeitgeber geschlossen wird,</w:t>
      </w:r>
    </w:p>
    <w:p>
      <w:pPr>
        <w:numPr>
          <w:ilvl w:val="0"/>
          <w:numId w:val="4206332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Pflegekarenz zum Zwecke der Pflege oder Betreuung
eines/einer nahen Angehörigen notwendig ist,</w:t>
      </w:r>
    </w:p>
    <w:p>
      <w:pPr>
        <w:numPr>
          <w:ilvl w:val="0"/>
          <w:numId w:val="4206332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dem/der Angehörigen zum Zeitpunkt des Antritts ein Pflegegeld
ab der Stufe 3 nach Bundespflegegeldgesetz (BPGG) gebührt (Ausnahme
für demenziell erkrankte und minderjährige nahe Angehörige),</w:t>
      </w:r>
    </w:p>
    <w:p>
      <w:pPr>
        <w:numPr>
          <w:ilvl w:val="0"/>
          <w:numId w:val="4206332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Pflegekarenz für die Dauer von mindestens einem Monat bis
zu drei Monaten vereinbart wird,</w:t>
      </w:r>
    </w:p>
    <w:p>
      <w:pPr>
        <w:numPr>
          <w:ilvl w:val="0"/>
          <w:numId w:val="4206332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„unzulässigen Zeiten“ (Beschäftigungsverbot nach MSchG,
Karenz nach MSchG oder VKG, Präsenzdienst oder Zivildienst) für
eine Vereinbarung vorliegen.</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Vereinbarung</w:t>
      </w:r>
      <w:bookmarkStart w:id="58926285" w:name="link1"/>
      <w:bookmarkEnd w:id="58926285"/>
      <w:hyperlink w:anchor="note1" w:history="1">
        <w:r>
          <w:rPr>
            <w:rFonts w:ascii="Arial" w:hAnsi="Arial" w:eastAsia="Arial" w:cs="Arial"/>
            <w:b/>
            <w:bCs/>
            <w:color w:val="006BB6"/>
            <w:position w:val="6"/>
            <w:sz w:val="31"/>
            <w:szCs w:val="31"/>
            <w:vertAlign w:val="superscript"/>
          </w:rPr>
          <w:t xml:space="preserve">1</w:t>
        </w:r>
      </w:hyperlink>
      <w:r>
        <w:rPr>
          <w:rFonts w:ascii="Arial" w:hAnsi="Arial" w:eastAsia="Arial" w:cs="Arial"/>
          <w:b/>
          <w:bCs/>
          <w:color w:val="363A40"/>
          <w:sz w:val="28"/>
          <w:szCs w:val="28"/>
        </w:rPr>
        <w:t xml:space="preserve"> über Pflegekarenz gem
§ 14c </w:t>
      </w:r>
      <w:r>
        <w:rPr>
          <w:rFonts w:ascii="Arial" w:hAnsi="Arial" w:eastAsia="Arial" w:cs="Arial"/>
          <w:b/>
          <w:bCs/>
          <w:color w:val="363A40"/>
          <w:sz w:val="28"/>
          <w:szCs w:val="28"/>
        </w:rPr>
        <w:t xml:space="preserve">AVRAG</w:t>
      </w:r>
      <w:bookmarkStart w:id="94224443" w:name="link2"/>
      <w:bookmarkEnd w:id="94224443"/>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zwischen</w:t>
      </w:r>
    </w:p>
    <w:p>
      <w:pPr>
        <w:widowControl w:val="on"/>
        <w:pBdr/>
        <w:spacing w:before="140" w:after="240" w:line="288" w:lineRule="auto"/>
        <w:ind w:left="0" w:right="0"/>
        <w:jc w:val="left"/>
      </w:pPr>
      <w:r>
        <w:rPr>
          <w:rFonts w:ascii="Arial" w:hAnsi="Arial" w:eastAsia="Arial" w:cs="Arial"/>
          <w:color w:val="000000"/>
          <w:sz w:val="20"/>
          <w:szCs w:val="20"/>
        </w:rPr>
        <w:t xml:space="preserve">Arbeitgeber … [Firma, Firmenbuchnummer, Adresse einfügen]</w:t>
      </w:r>
      <w:r>
        <w:rPr>
          <w:rFonts w:ascii="Arial" w:hAnsi="Arial" w:eastAsia="Arial" w:cs="Arial"/>
          <w:color w:val="000000"/>
          <w:sz w:val="20"/>
          <w:szCs w:val="20"/>
        </w:rPr>
        <w:br/>
        <w:t xml:space="preserve">(kurz: Arbeitgeber)</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Arbeitnehmer … [Name, Geburtsdatum, Adresse einfügen]</w:t>
      </w:r>
      <w:r>
        <w:rPr>
          <w:rFonts w:ascii="Arial" w:hAnsi="Arial" w:eastAsia="Arial" w:cs="Arial"/>
          <w:color w:val="000000"/>
          <w:sz w:val="20"/>
          <w:szCs w:val="20"/>
        </w:rPr>
        <w:br/>
        <w:t xml:space="preserve">(kurz: Arbeitnehmer, wobei diese Bezeichnung ungeachtet des
Geschlechts verwendet wird)</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Vertragspartner haben den Arbeitsvertrag vom … [Datum des
Arbeitsvertrages ergänzen] abgeschlossen.</w:t>
      </w:r>
    </w:p>
    <w:p>
      <w:pPr>
        <w:widowControl w:val="on"/>
        <w:pBdr/>
        <w:spacing w:before="140" w:after="240" w:line="288" w:lineRule="auto"/>
        <w:ind w:left="0" w:right="0"/>
        <w:jc w:val="left"/>
      </w:pPr>
      <w:r>
        <w:rPr>
          <w:rFonts w:ascii="Arial" w:hAnsi="Arial" w:eastAsia="Arial" w:cs="Arial"/>
          <w:color w:val="000000"/>
          <w:sz w:val="20"/>
          <w:szCs w:val="20"/>
        </w:rPr>
        <w:t xml:space="preserve">Gem § 14c AVRAG können Arbeitnehmer und Arbeitgeber, sofern
das Arbeitsverhältnis ununterbrochen drei Monate andauerte,
schriftlich eine Pflegekarenz gegen Entfall des Arbeitsentgeltes
zum Zwecke der Pflege oder Betreuung eines/einer nahen Angehörigen
iSd § 14a AVRAG, dem/der zum Zeitpunkt des Antritts der
Pflegekarenz Pflegegeld ab der Stufe 3 nach § 5 des
Bundespflegegeldgesetzes gebührt, für die Dauer von mindestens
einem Monat bis zu drei Monaten vereinbaren.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Gegenstand der </w:t>
      </w:r>
      <w:r>
        <w:rPr>
          <w:rFonts w:ascii="Arial" w:hAnsi="Arial" w:eastAsia="Arial" w:cs="Arial"/>
          <w:b/>
          <w:bCs/>
          <w:color w:val="363A40"/>
          <w:sz w:val="28"/>
          <w:szCs w:val="28"/>
        </w:rPr>
        <w:t xml:space="preserve">Vereinbarung</w:t>
      </w:r>
      <w:bookmarkStart w:id="4424817" w:name="link3"/>
      <w:bookmarkEnd w:id="4424817"/>
      <w:hyperlink w:anchor="note3" w:history="1">
        <w:r>
          <w:rPr>
            <w:rFonts w:ascii="Arial" w:hAnsi="Arial" w:eastAsia="Arial" w:cs="Arial"/>
            <w:b/>
            <w:bCs/>
            <w:color w:val="006BB6"/>
            <w:position w:val="6"/>
            <w:sz w:val="31"/>
            <w:szCs w:val="31"/>
            <w:vertAlign w:val="superscript"/>
          </w:rPr>
          <w:t xml:space="preserve">3</w:t>
        </w:r>
      </w:hyperlink>
    </w:p>
    <w:p>
      <w:pPr>
        <w:numPr>
          <w:ilvl w:val="0"/>
          <w:numId w:val="3179893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Arbeitgeber und </w:t>
      </w:r>
      <w:r>
        <w:rPr>
          <w:rFonts w:ascii="Arial" w:hAnsi="Arial" w:eastAsia="Arial" w:cs="Arial"/>
          <w:color w:val="000000"/>
          <w:sz w:val="20"/>
          <w:szCs w:val="20"/>
        </w:rPr>
        <w:t xml:space="preserve">Arbeitnehmer</w:t>
      </w:r>
      <w:bookmarkStart w:id="3544682" w:name="link4"/>
      <w:bookmarkEnd w:id="3544682"/>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vereinbaren hiermit
eine </w:t>
      </w:r>
      <w:r>
        <w:rPr>
          <w:rFonts w:ascii="Arial" w:hAnsi="Arial" w:eastAsia="Arial" w:cs="Arial"/>
          <w:color w:val="000000"/>
          <w:sz w:val="20"/>
          <w:szCs w:val="20"/>
        </w:rPr>
        <w:t xml:space="preserve">Pflegekarenz.</w:t>
      </w:r>
      <w:bookmarkStart w:id="51750162" w:name="link5"/>
      <w:bookmarkEnd w:id="51750162"/>
      <w:hyperlink w:anchor="note5" w:history="1">
        <w:r>
          <w:rPr>
            <w:rFonts w:ascii="Arial" w:hAnsi="Arial" w:eastAsia="Arial" w:cs="Arial"/>
            <w:b/>
            <w:bCs/>
            <w:color w:val="006BB6"/>
            <w:position w:val="4"/>
            <w:sz w:val="22"/>
            <w:szCs w:val="22"/>
            <w:vertAlign w:val="superscript"/>
          </w:rPr>
          <w:t xml:space="preserve">5</w:t>
        </w:r>
      </w:hyperlink>
    </w:p>
    <w:p>
      <w:pPr>
        <w:numPr>
          <w:ilvl w:val="0"/>
          <w:numId w:val="3179893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derzeit bestehende Arbeitsverhältnis wird aus diesem Grund
von … bis … zum Zwecke der Pflege oder Betreuung eines/einer nahen
</w:t>
      </w:r>
      <w:r>
        <w:rPr>
          <w:rFonts w:ascii="Arial" w:hAnsi="Arial" w:eastAsia="Arial" w:cs="Arial"/>
          <w:color w:val="000000"/>
          <w:sz w:val="20"/>
          <w:szCs w:val="20"/>
        </w:rPr>
        <w:t xml:space="preserve">Angehörigen</w:t>
      </w:r>
      <w:bookmarkStart w:id="42706788" w:name="link6"/>
      <w:bookmarkEnd w:id="42706788"/>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w:t>
      </w:r>
      <w:r>
        <w:rPr>
          <w:rFonts w:ascii="Arial" w:hAnsi="Arial" w:eastAsia="Arial" w:cs="Arial"/>
          <w:color w:val="000000"/>
          <w:sz w:val="20"/>
          <w:szCs w:val="20"/>
        </w:rPr>
        <w:t xml:space="preserve">karenziert.</w:t>
      </w:r>
      <w:bookmarkStart w:id="25102414" w:name="link7"/>
      <w:bookmarkEnd w:id="25102414"/>
      <w:hyperlink w:anchor="note7" w:history="1">
        <w:r>
          <w:rPr>
            <w:rFonts w:ascii="Arial" w:hAnsi="Arial" w:eastAsia="Arial" w:cs="Arial"/>
            <w:b/>
            <w:bCs/>
            <w:color w:val="006BB6"/>
            <w:position w:val="4"/>
            <w:sz w:val="22"/>
            <w:szCs w:val="22"/>
            <w:vertAlign w:val="superscript"/>
          </w:rPr>
          <w:t xml:space="preserve">7</w:t>
        </w:r>
      </w:hyperlink>
    </w:p>
    <w:p>
      <w:pPr>
        <w:numPr>
          <w:ilvl w:val="0"/>
          <w:numId w:val="3179893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Arbeitsverhältnis bleibt vollumfänglich bestehen, wobei die
sich daraus ergebenden Pflichten des Arbeitgebers und Arbeitnehmers
bis zum Ende der Karenzierung gem Punkt I. 2. ruhen.</w:t>
      </w:r>
    </w:p>
    <w:p>
      <w:pPr>
        <w:numPr>
          <w:ilvl w:val="0"/>
          <w:numId w:val="3179893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Pflegekarenz wird für folgende(n) nahe(n) Angehörige(n)
vereinbart: … Mit dieser/diesem nahen Angehörigen steht der
Arbeitnehmer in folgendem Angehörigenverhältnis: … Dieser bezieht
Pflegegeld der Stufe </w:t>
      </w:r>
      <w:r>
        <w:rPr>
          <w:rFonts w:ascii="Arial" w:hAnsi="Arial" w:eastAsia="Arial" w:cs="Arial"/>
          <w:color w:val="000000"/>
          <w:sz w:val="20"/>
          <w:szCs w:val="20"/>
        </w:rPr>
        <w:t xml:space="preserve">…</w:t>
      </w:r>
      <w:bookmarkStart w:id="59499813" w:name="link8"/>
      <w:bookmarkEnd w:id="59499813"/>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Entgelt</w:t>
      </w:r>
    </w:p>
    <w:p>
      <w:pPr>
        <w:numPr>
          <w:ilvl w:val="0"/>
          <w:numId w:val="67280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Arbeitsentgelt entfällt für die Dauer der Karenzierung gem
Punkt I. 2.</w:t>
      </w:r>
    </w:p>
    <w:p>
      <w:pPr>
        <w:numPr>
          <w:ilvl w:val="0"/>
          <w:numId w:val="67280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Sonstige Bezüge, wie Sonderzahlungen und Urlaubsanspruch, die
in die Zeit der Pflegekarenz fallen, werden aliquotiert.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Sonstiges</w:t>
      </w:r>
    </w:p>
    <w:p>
      <w:pPr>
        <w:numPr>
          <w:ilvl w:val="0"/>
          <w:numId w:val="4638396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[So ein Betriebsrat vorhanden </w:t>
      </w:r>
      <w:r>
        <w:rPr>
          <w:rFonts w:ascii="Arial" w:hAnsi="Arial" w:eastAsia="Arial" w:cs="Arial"/>
          <w:color w:val="000000"/>
          <w:sz w:val="20"/>
          <w:szCs w:val="20"/>
        </w:rPr>
        <w:t xml:space="preserve">ist]</w:t>
      </w:r>
      <w:bookmarkStart w:id="43657659" w:name="link9"/>
      <w:bookmarkEnd w:id="43657659"/>
      <w:hyperlink w:anchor="note9" w:history="1">
        <w:r>
          <w:rPr>
            <w:rFonts w:ascii="Arial" w:hAnsi="Arial" w:eastAsia="Arial" w:cs="Arial"/>
            <w:b/>
            <w:bCs/>
            <w:color w:val="006BB6"/>
            <w:position w:val="4"/>
            <w:sz w:val="22"/>
            <w:szCs w:val="22"/>
            <w:vertAlign w:val="superscript"/>
          </w:rPr>
          <w:t xml:space="preserve">9</w:t>
        </w:r>
      </w:hyperlink>
      <w:r>
        <w:rPr>
          <w:rFonts w:ascii="Arial" w:hAnsi="Arial" w:eastAsia="Arial" w:cs="Arial"/>
          <w:color w:val="000000"/>
          <w:sz w:val="20"/>
          <w:szCs w:val="20"/>
        </w:rPr>
        <w:br/>
        <w:t xml:space="preserve">Der Betriebsrat wurde auf Verlangen des Arbeitnehmers den
Verhandlungen zur Vereinbarung der Pflegekarenz beigezogen.</w:t>
      </w:r>
      <w:r>
        <w:rPr>
          <w:rFonts w:ascii="Arial" w:hAnsi="Arial" w:eastAsia="Arial" w:cs="Arial"/>
          <w:color w:val="000000"/>
          <w:sz w:val="20"/>
          <w:szCs w:val="20"/>
        </w:rPr>
        <w:br/>
        <w:t xml:space="preserve">[</w:t>
      </w:r>
      <w:r>
        <w:rPr>
          <w:rFonts w:ascii="Arial" w:hAnsi="Arial" w:eastAsia="Arial" w:cs="Arial"/>
          <w:b/>
          <w:bCs/>
          <w:color w:val="000000"/>
          <w:sz w:val="20"/>
          <w:szCs w:val="20"/>
        </w:rPr>
        <w:t xml:space="preserve">Alternativ:</w:t>
      </w:r>
      <w:r>
        <w:rPr>
          <w:rFonts w:ascii="Arial" w:hAnsi="Arial" w:eastAsia="Arial" w:cs="Arial"/>
          <w:color w:val="000000"/>
          <w:sz w:val="20"/>
          <w:szCs w:val="20"/>
        </w:rPr>
        <w:t xml:space="preserve"> Die Beiziehung des Betriebsrates zu
den Verhandlungen zur Vereinbarung der Pflegekarenz wurde vom
Arbeitnehmer nicht verlangt.]</w:t>
      </w:r>
    </w:p>
    <w:p>
      <w:pPr>
        <w:numPr>
          <w:ilvl w:val="0"/>
          <w:numId w:val="4638396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Ansprüche, die sich nach der Dauer der Dienstzeit richten,
wird die Zeit der Pflegekarenz nicht angerechnet.</w:t>
      </w:r>
    </w:p>
    <w:p>
      <w:pPr>
        <w:numPr>
          <w:ilvl w:val="0"/>
          <w:numId w:val="4638396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Übrigen gelten die Regelungen des bestehenden
Arbeitsvertrages nach Ende der Pflegekarenz unverändert
weiter.</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des Arbeitgebers]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des Arbeitnehmers]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267062" w:name="note1"/>
            <w:bookmarkEnd w:id="21267062"/>
            <w:bookmarkStart w:id="3832216869360" w:name="note1"/>
            <w:r>
              <w:rPr>
                <w:rFonts w:ascii="Arial" w:hAnsi="Arial" w:eastAsia="Arial" w:cs="Arial"/>
                <w:b/>
                <w:bCs/>
                <w:color w:val="000000"/>
                <w:position w:val="0"/>
                <w:sz w:val="20"/>
                <w:szCs w:val="20"/>
              </w:rPr>
              <w:t xml:space="preserve">[1]</w:t>
            </w:r>
            <w:bookmarkEnd w:id="383221686936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Notwendiger Inhalt:</w:t>
            </w:r>
            <w:r>
              <w:rPr>
                <w:rFonts w:ascii="Arial" w:hAnsi="Arial" w:eastAsia="Arial" w:cs="Arial"/>
                <w:color w:val="000000"/>
                <w:position w:val="0"/>
                <w:sz w:val="20"/>
                <w:szCs w:val="20"/>
              </w:rPr>
              <w:t xml:space="preserve"> Die Vereinbarung hat
</w:t>
            </w:r>
            <w:r>
              <w:rPr>
                <w:rFonts w:ascii="Arial" w:hAnsi="Arial" w:eastAsia="Arial" w:cs="Arial"/>
                <w:b/>
                <w:bCs/>
                <w:color w:val="000000"/>
                <w:position w:val="0"/>
                <w:sz w:val="20"/>
                <w:szCs w:val="20"/>
              </w:rPr>
              <w:t xml:space="preserve">Beginn und Dauer</w:t>
            </w:r>
            <w:r>
              <w:rPr>
                <w:rFonts w:ascii="Arial" w:hAnsi="Arial" w:eastAsia="Arial" w:cs="Arial"/>
                <w:color w:val="000000"/>
                <w:position w:val="0"/>
                <w:sz w:val="20"/>
                <w:szCs w:val="20"/>
              </w:rPr>
              <w:t xml:space="preserve"> der Pflegekarenz zu
enthalten.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455116" w:name="note2"/>
            <w:bookmarkEnd w:id="74455116"/>
            <w:bookmarkStart w:id="1691943543624" w:name="note2"/>
            <w:r>
              <w:rPr>
                <w:rFonts w:ascii="Arial" w:hAnsi="Arial" w:eastAsia="Arial" w:cs="Arial"/>
                <w:b/>
                <w:bCs/>
                <w:color w:val="000000"/>
                <w:position w:val="0"/>
                <w:sz w:val="20"/>
                <w:szCs w:val="20"/>
              </w:rPr>
              <w:t xml:space="preserve">[2]</w:t>
            </w:r>
            <w:bookmarkEnd w:id="169194354362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Schriftlichkeit:</w:t>
            </w:r>
            <w:r>
              <w:rPr>
                <w:rFonts w:ascii="Arial" w:hAnsi="Arial" w:eastAsia="Arial" w:cs="Arial"/>
                <w:color w:val="000000"/>
                <w:position w:val="0"/>
                <w:sz w:val="20"/>
                <w:szCs w:val="20"/>
              </w:rPr>
              <w:t xml:space="preserve"> Formalvoraussetzung für die
Vereinbarung ist die Schriftlichkeit, daher scheidet eine mündliche
Vereinbarung aus. Es ist Rechtsprechung, dass Schriftlichkeit im
Allgemeinen Unterschriftlichkeit bedeutet (vgl RS0017221). Die
verlangte Schriftlichkeit liegt nur vor, wenn der Text der
Vereinbarung mit der Unterschrift der Parteien versehen
(„bestätigt“) ist. Die Schriftlichkeit ist daher eine
</w:t>
            </w:r>
            <w:r>
              <w:rPr>
                <w:rFonts w:ascii="Arial" w:hAnsi="Arial" w:eastAsia="Arial" w:cs="Arial"/>
                <w:b/>
                <w:bCs/>
                <w:color w:val="000000"/>
                <w:position w:val="0"/>
                <w:sz w:val="20"/>
                <w:szCs w:val="20"/>
              </w:rPr>
              <w:t xml:space="preserve">Gültigkeitsvoraussetzung</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650002" w:name="note3"/>
            <w:bookmarkEnd w:id="32650002"/>
            <w:bookmarkStart w:id="8217781413630" w:name="note3"/>
            <w:r>
              <w:rPr>
                <w:rFonts w:ascii="Arial" w:hAnsi="Arial" w:eastAsia="Arial" w:cs="Arial"/>
                <w:b/>
                <w:bCs/>
                <w:color w:val="000000"/>
                <w:position w:val="0"/>
                <w:sz w:val="20"/>
                <w:szCs w:val="20"/>
              </w:rPr>
              <w:t xml:space="preserve">[3]</w:t>
            </w:r>
            <w:bookmarkEnd w:id="82177814136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Vereinbarung:</w:t>
            </w:r>
            <w:r>
              <w:rPr>
                <w:rFonts w:ascii="Arial" w:hAnsi="Arial" w:eastAsia="Arial" w:cs="Arial"/>
                <w:color w:val="000000"/>
                <w:position w:val="0"/>
                <w:sz w:val="20"/>
                <w:szCs w:val="20"/>
              </w:rPr>
              <w:t xml:space="preserve"> Bei der Vereinbarung über die
Pflegekarenz ist auf die </w:t>
            </w:r>
            <w:r>
              <w:rPr>
                <w:rFonts w:ascii="Arial" w:hAnsi="Arial" w:eastAsia="Arial" w:cs="Arial"/>
                <w:b/>
                <w:bCs/>
                <w:color w:val="000000"/>
                <w:position w:val="0"/>
                <w:sz w:val="20"/>
                <w:szCs w:val="20"/>
              </w:rPr>
              <w:t xml:space="preserve">Interessen</w:t>
            </w:r>
            <w:r>
              <w:rPr>
                <w:rFonts w:ascii="Arial" w:hAnsi="Arial" w:eastAsia="Arial" w:cs="Arial"/>
                <w:color w:val="000000"/>
                <w:position w:val="0"/>
                <w:sz w:val="20"/>
                <w:szCs w:val="20"/>
              </w:rPr>
              <w:t xml:space="preserve"> des
Arbeitnehmers und auf die Erfordernisse des Betriebes Rücksicht zu
nehmen. Die Vereinbarung der Pflegekarenz </w:t>
            </w:r>
            <w:r>
              <w:rPr>
                <w:rFonts w:ascii="Arial" w:hAnsi="Arial" w:eastAsia="Arial" w:cs="Arial"/>
                <w:b/>
                <w:bCs/>
                <w:color w:val="000000"/>
                <w:position w:val="0"/>
                <w:sz w:val="20"/>
                <w:szCs w:val="20"/>
              </w:rPr>
              <w:t xml:space="preserve">in mehreren
Teilen</w:t>
            </w:r>
            <w:r>
              <w:rPr>
                <w:rFonts w:ascii="Arial" w:hAnsi="Arial" w:eastAsia="Arial" w:cs="Arial"/>
                <w:color w:val="000000"/>
                <w:position w:val="0"/>
                <w:sz w:val="20"/>
                <w:szCs w:val="20"/>
              </w:rPr>
              <w:t xml:space="preserve"> (zeitliche Unterbrechung der Pflegekarenz) ist
</w:t>
            </w:r>
            <w:r>
              <w:rPr>
                <w:rFonts w:ascii="Arial" w:hAnsi="Arial" w:eastAsia="Arial" w:cs="Arial"/>
                <w:b/>
                <w:bCs/>
                <w:color w:val="000000"/>
                <w:position w:val="0"/>
                <w:sz w:val="20"/>
                <w:szCs w:val="20"/>
              </w:rPr>
              <w:t xml:space="preserve">unzulässig</w:t>
            </w:r>
            <w:r>
              <w:rPr>
                <w:rFonts w:ascii="Arial" w:hAnsi="Arial" w:eastAsia="Arial" w:cs="Arial"/>
                <w:color w:val="000000"/>
                <w:position w:val="0"/>
                <w:sz w:val="20"/>
                <w:szCs w:val="20"/>
              </w:rPr>
              <w:t xml:space="preserve">. Eine </w:t>
            </w:r>
            <w:r>
              <w:rPr>
                <w:rFonts w:ascii="Arial" w:hAnsi="Arial" w:eastAsia="Arial" w:cs="Arial"/>
                <w:b/>
                <w:bCs/>
                <w:color w:val="000000"/>
                <w:position w:val="0"/>
                <w:sz w:val="20"/>
                <w:szCs w:val="20"/>
              </w:rPr>
              <w:t xml:space="preserve">Umwandlung</w:t>
            </w:r>
            <w:r>
              <w:rPr>
                <w:rFonts w:ascii="Arial" w:hAnsi="Arial" w:eastAsia="Arial" w:cs="Arial"/>
                <w:color w:val="000000"/>
                <w:position w:val="0"/>
                <w:sz w:val="20"/>
                <w:szCs w:val="20"/>
              </w:rPr>
              <w:t xml:space="preserve"> der
Pflegekarenz in eine Pflegeteilzeit ist ebenfalls
</w:t>
            </w:r>
            <w:r>
              <w:rPr>
                <w:rFonts w:ascii="Arial" w:hAnsi="Arial" w:eastAsia="Arial" w:cs="Arial"/>
                <w:b/>
                <w:bCs/>
                <w:color w:val="000000"/>
                <w:position w:val="0"/>
                <w:sz w:val="20"/>
                <w:szCs w:val="20"/>
              </w:rPr>
              <w:t xml:space="preserve">unzulässig</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Pflegekarenz oder Pflegeteilzeit aufgrund eines
Rechtsanspruchs in Anspruch genommen und erfolgt in diesem Zeitraum
keine weitere Vereinbarung, so gilt die Beantragung des
Pflegekarenzgeldes bis zur Beendigung der Maßnahme, längstens bis
zwei Monate nach Beginn der Pflegekarenz bzw Pflegeteilzeit, als
fristgerecht. In den übrigen Fällen beträgt die Antragsfrist zwei
Monate ab Beginn der Maßnahme. Wird der Antrag nach der Frist von
zwei Monaten, jedoch vor dem Ende der Pflegekarenz, Pflegeteilzeit
oder Familienhospizkarenz gestellt, gebührt das Pflegekarenzgeld ab
dem Tag der Antragstellung. Verspätete Anträge sind zurückzuweisen
(vgl BVwGW217 2317737-1).</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Ablehnung:</w:t>
            </w:r>
            <w:r>
              <w:rPr>
                <w:rFonts w:ascii="Arial" w:hAnsi="Arial" w:eastAsia="Arial" w:cs="Arial"/>
                <w:color w:val="000000"/>
                <w:position w:val="0"/>
                <w:sz w:val="20"/>
                <w:szCs w:val="20"/>
              </w:rPr>
              <w:t xml:space="preserve"> Der Dienstgeber muss eine
</w:t>
            </w:r>
            <w:r>
              <w:rPr>
                <w:rFonts w:ascii="Arial" w:hAnsi="Arial" w:eastAsia="Arial" w:cs="Arial"/>
                <w:b/>
                <w:bCs/>
                <w:color w:val="000000"/>
                <w:position w:val="0"/>
                <w:sz w:val="20"/>
                <w:szCs w:val="20"/>
              </w:rPr>
              <w:t xml:space="preserve">sachliche und schriftliche Begründung</w:t>
            </w:r>
            <w:r>
              <w:rPr>
                <w:rFonts w:ascii="Arial" w:hAnsi="Arial" w:eastAsia="Arial" w:cs="Arial"/>
                <w:color w:val="000000"/>
                <w:position w:val="0"/>
                <w:sz w:val="20"/>
                <w:szCs w:val="20"/>
              </w:rPr>
              <w:t xml:space="preserve"> abgeben,
wenn der Dienstnehmer</w:t>
            </w:r>
          </w:p>
          <w:p>
            <w:pPr>
              <w:numPr>
                <w:ilvl w:val="0"/>
                <w:numId w:val="73099324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einen </w:t>
            </w:r>
            <w:r>
              <w:rPr>
                <w:rFonts w:ascii="Arial" w:hAnsi="Arial" w:eastAsia="Arial" w:cs="Arial"/>
                <w:b/>
                <w:bCs/>
                <w:color w:val="000000"/>
                <w:position w:val="0"/>
                <w:sz w:val="20"/>
                <w:szCs w:val="20"/>
              </w:rPr>
              <w:t xml:space="preserve">Antrag auf Arbeitszeitverminderung (Herabsetzung
der Normalarbeitszeit)</w:t>
            </w:r>
            <w:r>
              <w:rPr>
                <w:rFonts w:ascii="Arial" w:hAnsi="Arial" w:eastAsia="Arial" w:cs="Arial"/>
                <w:color w:val="000000"/>
                <w:position w:val="0"/>
                <w:sz w:val="20"/>
                <w:szCs w:val="20"/>
              </w:rPr>
              <w:t xml:space="preserve"> stellt, um einen nahen Angehörigen
zu betreuen (§ 14 Abs 1 Z 2 AVRAG) oder wenn</w:t>
            </w:r>
          </w:p>
          <w:p>
            <w:pPr>
              <w:numPr>
                <w:ilvl w:val="0"/>
                <w:numId w:val="73099324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Dienstnehmer einen </w:t>
            </w:r>
            <w:r>
              <w:rPr>
                <w:rFonts w:ascii="Arial" w:hAnsi="Arial" w:eastAsia="Arial" w:cs="Arial"/>
                <w:b/>
                <w:bCs/>
                <w:color w:val="000000"/>
                <w:position w:val="0"/>
                <w:sz w:val="20"/>
                <w:szCs w:val="20"/>
              </w:rPr>
              <w:t xml:space="preserve">Antrag auf Pflegekarenz oder
Pflegeteilzeit</w:t>
            </w:r>
            <w:r>
              <w:rPr>
                <w:rFonts w:ascii="Arial" w:hAnsi="Arial" w:eastAsia="Arial" w:cs="Arial"/>
                <w:color w:val="000000"/>
                <w:position w:val="0"/>
                <w:sz w:val="20"/>
                <w:szCs w:val="20"/>
              </w:rPr>
              <w:t xml:space="preserve"> stellt (§ 14c und § 14d
AVRAG)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und der Dienstgeber diesen Antrag </w:t>
            </w:r>
            <w:r>
              <w:rPr>
                <w:rFonts w:ascii="Arial" w:hAnsi="Arial" w:eastAsia="Arial" w:cs="Arial"/>
                <w:b/>
                <w:bCs/>
                <w:color w:val="000000"/>
                <w:position w:val="0"/>
                <w:sz w:val="20"/>
                <w:szCs w:val="20"/>
              </w:rPr>
              <w:t xml:space="preserve">ablehnt oder
aufschiebt</w:t>
            </w:r>
            <w:r>
              <w:rPr>
                <w:rFonts w:ascii="Arial" w:hAnsi="Arial" w:eastAsia="Arial" w:cs="Arial"/>
                <w:color w:val="000000"/>
                <w:position w:val="0"/>
                <w:sz w:val="20"/>
                <w:szCs w:val="20"/>
              </w:rPr>
              <w:t xml:space="preserve">. Es sind allerdings keine Sanktionen
vorgesehen, wenn die Ablehnung ohne eine schriftliche Begründung
durch den Dienstgeber erfolgt ist.</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049624" w:name="note4"/>
            <w:bookmarkEnd w:id="59049624"/>
            <w:bookmarkStart w:id="5132623648802" w:name="note4"/>
            <w:r>
              <w:rPr>
                <w:rFonts w:ascii="Arial" w:hAnsi="Arial" w:eastAsia="Arial" w:cs="Arial"/>
                <w:b/>
                <w:bCs/>
                <w:color w:val="000000"/>
                <w:position w:val="0"/>
                <w:sz w:val="20"/>
                <w:szCs w:val="20"/>
              </w:rPr>
              <w:t xml:space="preserve">[4]</w:t>
            </w:r>
            <w:bookmarkEnd w:id="51326236488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Häufigkeit pro Arbeitnehmer:</w:t>
            </w:r>
            <w:r>
              <w:rPr>
                <w:rFonts w:ascii="Arial" w:hAnsi="Arial" w:eastAsia="Arial" w:cs="Arial"/>
                <w:color w:val="000000"/>
                <w:position w:val="0"/>
                <w:sz w:val="20"/>
                <w:szCs w:val="20"/>
              </w:rPr>
              <w:t xml:space="preserve"> Pflegekarenz kann
im Arbeitsverhältnis für ein und dieselbe zu pflegende/betreuende
Person </w:t>
            </w:r>
            <w:r>
              <w:rPr>
                <w:rFonts w:ascii="Arial" w:hAnsi="Arial" w:eastAsia="Arial" w:cs="Arial"/>
                <w:b/>
                <w:bCs/>
                <w:color w:val="000000"/>
                <w:position w:val="0"/>
                <w:sz w:val="20"/>
                <w:szCs w:val="20"/>
              </w:rPr>
              <w:t xml:space="preserve">nur einmal</w:t>
            </w:r>
            <w:r>
              <w:rPr>
                <w:rFonts w:ascii="Arial" w:hAnsi="Arial" w:eastAsia="Arial" w:cs="Arial"/>
                <w:color w:val="000000"/>
                <w:position w:val="0"/>
                <w:sz w:val="20"/>
                <w:szCs w:val="20"/>
              </w:rPr>
              <w:t xml:space="preserve"> vereinbart werden (§§ 14c
Abs 1 und 14 d Abs 1 AVRAG). Nur im Fall einer
</w:t>
            </w:r>
            <w:r>
              <w:rPr>
                <w:rFonts w:ascii="Arial" w:hAnsi="Arial" w:eastAsia="Arial" w:cs="Arial"/>
                <w:b/>
                <w:bCs/>
                <w:color w:val="000000"/>
                <w:position w:val="0"/>
                <w:sz w:val="20"/>
                <w:szCs w:val="20"/>
              </w:rPr>
              <w:t xml:space="preserve">wesentlichen Verschlechterung</w:t>
            </w:r>
            <w:r>
              <w:rPr>
                <w:rFonts w:ascii="Arial" w:hAnsi="Arial" w:eastAsia="Arial" w:cs="Arial"/>
                <w:color w:val="000000"/>
                <w:position w:val="0"/>
                <w:sz w:val="20"/>
                <w:szCs w:val="20"/>
              </w:rPr>
              <w:t xml:space="preserve"> des
Gesundheitszustandes der zu pflegenden/betreuenden Person ist
einmalig eine neuerliche Vereinbarung der Pflegekarenz zulässig.
Eine wesentliche Verschlechterung liegt vor, wenn es zu einer
</w:t>
            </w:r>
            <w:r>
              <w:rPr>
                <w:rFonts w:ascii="Arial" w:hAnsi="Arial" w:eastAsia="Arial" w:cs="Arial"/>
                <w:b/>
                <w:bCs/>
                <w:color w:val="000000"/>
                <w:position w:val="0"/>
                <w:sz w:val="20"/>
                <w:szCs w:val="20"/>
              </w:rPr>
              <w:t xml:space="preserve">Erhöhung des Pflegegeldes um mindestens eine Stufe</w:t>
            </w:r>
            <w:r>
              <w:rPr>
                <w:rFonts w:ascii="Arial" w:hAnsi="Arial" w:eastAsia="Arial" w:cs="Arial"/>
                <w:color w:val="000000"/>
                <w:position w:val="0"/>
                <w:sz w:val="20"/>
                <w:szCs w:val="20"/>
              </w:rPr>
              <w:t xml:space="preserve">
kommt und diese Erhöhung spätestens zum Antritt der neuerlichen
Pflegekarenz durch Bescheid zuerkannt wurde (vgl auch § 9
Abs 4 BPGG).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der Arbeitnehmer eine Pflegekarenz </w:t>
            </w:r>
            <w:r>
              <w:rPr>
                <w:rFonts w:ascii="Arial" w:hAnsi="Arial" w:eastAsia="Arial" w:cs="Arial"/>
                <w:b/>
                <w:bCs/>
                <w:color w:val="000000"/>
                <w:position w:val="0"/>
                <w:sz w:val="20"/>
                <w:szCs w:val="20"/>
              </w:rPr>
              <w:t xml:space="preserve">bereits
angetreten</w:t>
            </w:r>
            <w:r>
              <w:rPr>
                <w:rFonts w:ascii="Arial" w:hAnsi="Arial" w:eastAsia="Arial" w:cs="Arial"/>
                <w:color w:val="000000"/>
                <w:position w:val="0"/>
                <w:sz w:val="20"/>
                <w:szCs w:val="20"/>
              </w:rPr>
              <w:t xml:space="preserve"> (dh zeitgleich), ist die Vereinbarung einer
Pflegeteilzeit für dieselbe zu betreuende Person unzulässig;
Gleiches gilt umgekehrt (§§ 14c Abs 1 und 14d Abs 1
AVRAG). Es ist allerdings zulässig, </w:t>
            </w:r>
            <w:r>
              <w:rPr>
                <w:rFonts w:ascii="Arial" w:hAnsi="Arial" w:eastAsia="Arial" w:cs="Arial"/>
                <w:b/>
                <w:bCs/>
                <w:color w:val="000000"/>
                <w:position w:val="0"/>
                <w:sz w:val="20"/>
                <w:szCs w:val="20"/>
              </w:rPr>
              <w:t xml:space="preserve">im Anschluss an die
Pflegekarenz eine Pflegeteilzeit zu vereinbaren</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Mair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Binder/Burger/Mair</w:t>
            </w:r>
            <w:r>
              <w:rPr>
                <w:rFonts w:ascii="Arial" w:hAnsi="Arial" w:eastAsia="Arial" w:cs="Arial"/>
                <w:color w:val="000000"/>
                <w:position w:val="0"/>
                <w:sz w:val="20"/>
                <w:szCs w:val="20"/>
              </w:rPr>
              <w:t xml:space="preserve">, AVRAG</w:t>
            </w:r>
            <w:r>
              <w:rPr>
                <w:rFonts w:ascii="Arial" w:hAnsi="Arial" w:eastAsia="Arial" w:cs="Arial"/>
                <w:color w:val="000000"/>
                <w:position w:val="3"/>
                <w:sz w:val="18"/>
                <w:szCs w:val="18"/>
                <w:vertAlign w:val="superscript"/>
              </w:rPr>
              <w:t xml:space="preserve">3</w:t>
            </w:r>
            <w:r>
              <w:rPr>
                <w:rFonts w:ascii="Arial" w:hAnsi="Arial" w:eastAsia="Arial" w:cs="Arial"/>
                <w:color w:val="000000"/>
                <w:position w:val="0"/>
                <w:sz w:val="20"/>
                <w:szCs w:val="20"/>
              </w:rPr>
              <w:t xml:space="preserve">,
§§ 14c und 14d AVRAG Rz 12, mwN).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eine zu pflegende/betreuende Person können </w:t>
            </w:r>
            <w:r>
              <w:rPr>
                <w:rFonts w:ascii="Arial" w:hAnsi="Arial" w:eastAsia="Arial" w:cs="Arial"/>
                <w:b/>
                <w:bCs/>
                <w:color w:val="000000"/>
                <w:position w:val="0"/>
                <w:sz w:val="20"/>
                <w:szCs w:val="20"/>
              </w:rPr>
              <w:t xml:space="preserve">auch
mehrere Arbeitnehmer</w:t>
            </w:r>
            <w:r>
              <w:rPr>
                <w:rFonts w:ascii="Arial" w:hAnsi="Arial" w:eastAsia="Arial" w:cs="Arial"/>
                <w:color w:val="000000"/>
                <w:position w:val="0"/>
                <w:sz w:val="20"/>
                <w:szCs w:val="20"/>
              </w:rPr>
              <w:t xml:space="preserve"> jeweils eine Pflegekarenz
vereinbaren.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495531" w:name="note5"/>
            <w:bookmarkEnd w:id="84495531"/>
            <w:bookmarkStart w:id="5501531627535" w:name="note5"/>
            <w:r>
              <w:rPr>
                <w:rFonts w:ascii="Arial" w:hAnsi="Arial" w:eastAsia="Arial" w:cs="Arial"/>
                <w:b/>
                <w:bCs/>
                <w:color w:val="000000"/>
                <w:position w:val="0"/>
                <w:sz w:val="20"/>
                <w:szCs w:val="20"/>
              </w:rPr>
              <w:t xml:space="preserve">[5]</w:t>
            </w:r>
            <w:bookmarkEnd w:id="55015316275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Saisonbetriebe:</w:t>
            </w:r>
            <w:r>
              <w:rPr>
                <w:rFonts w:ascii="Arial" w:hAnsi="Arial" w:eastAsia="Arial" w:cs="Arial"/>
                <w:color w:val="000000"/>
                <w:position w:val="0"/>
                <w:sz w:val="20"/>
                <w:szCs w:val="20"/>
              </w:rPr>
              <w:t xml:space="preserve"> Arbeitnehmer und Arbeitgeber
können eine Pflegekarenz auch in einem befristeten
Arbeitsverhältnis in einem Saisonbetrieb vereinbaren, sofern</w:t>
            </w:r>
          </w:p>
          <w:p>
            <w:pPr>
              <w:numPr>
                <w:ilvl w:val="0"/>
                <w:numId w:val="90127261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befristete Arbeitsverhältnis ununterbrochen zwei Monate
gedauert hat und</w:t>
            </w:r>
          </w:p>
          <w:p>
            <w:pPr>
              <w:numPr>
                <w:ilvl w:val="0"/>
                <w:numId w:val="90127261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Arbeitnehmer bei diesem Arbeitgeber insgesamt mindestens
drei Monate beschäftigt ist.</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080747" w:name="note6"/>
            <w:bookmarkEnd w:id="72080747"/>
            <w:bookmarkStart w:id="6070883690470" w:name="note6"/>
            <w:r>
              <w:rPr>
                <w:rFonts w:ascii="Arial" w:hAnsi="Arial" w:eastAsia="Arial" w:cs="Arial"/>
                <w:b/>
                <w:bCs/>
                <w:color w:val="000000"/>
                <w:position w:val="0"/>
                <w:sz w:val="20"/>
                <w:szCs w:val="20"/>
              </w:rPr>
              <w:t xml:space="preserve">[6]</w:t>
            </w:r>
            <w:bookmarkEnd w:id="60708836904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Nahe Angehörige:</w:t>
            </w:r>
            <w:r>
              <w:rPr>
                <w:rFonts w:ascii="Arial" w:hAnsi="Arial" w:eastAsia="Arial" w:cs="Arial"/>
                <w:color w:val="000000"/>
                <w:position w:val="0"/>
                <w:sz w:val="20"/>
                <w:szCs w:val="20"/>
              </w:rPr>
              <w:t xml:space="preserve"> Als nahe Angehörige gelten
Ehegatten/Ehegattin und dessen/deren Kinder, Eltern, Großeltern,
Adoptiv- und Pflegeeltern, Kinder, Enkelkinder, Stiefkinder,
Adoptiv- und Pflegekinder, Lebensgefährte/Lebensgefährtin und
dessen/deren Kinder, eingetragene/n Partner/in und dessen/deren
Kinder, Geschwister, Schwiegereltern und Schwiegerkinder. Ein
gemeinsamer </w:t>
            </w:r>
            <w:r>
              <w:rPr>
                <w:rFonts w:ascii="Arial" w:hAnsi="Arial" w:eastAsia="Arial" w:cs="Arial"/>
                <w:b/>
                <w:bCs/>
                <w:color w:val="000000"/>
                <w:position w:val="0"/>
                <w:sz w:val="20"/>
                <w:szCs w:val="20"/>
              </w:rPr>
              <w:t xml:space="preserve">Haushalt ist keine Voraussetzung</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348585" w:name="note7"/>
            <w:bookmarkEnd w:id="23348585"/>
            <w:bookmarkStart w:id="938690097591" w:name="note7"/>
            <w:r>
              <w:rPr>
                <w:rFonts w:ascii="Arial" w:hAnsi="Arial" w:eastAsia="Arial" w:cs="Arial"/>
                <w:b/>
                <w:bCs/>
                <w:color w:val="000000"/>
                <w:position w:val="0"/>
                <w:sz w:val="20"/>
                <w:szCs w:val="20"/>
              </w:rPr>
              <w:t xml:space="preserve">[7]</w:t>
            </w:r>
            <w:bookmarkEnd w:id="9386900975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Beendigung:</w:t>
            </w:r>
            <w:r>
              <w:rPr>
                <w:rFonts w:ascii="Arial" w:hAnsi="Arial" w:eastAsia="Arial" w:cs="Arial"/>
                <w:color w:val="000000"/>
                <w:position w:val="0"/>
                <w:sz w:val="20"/>
                <w:szCs w:val="20"/>
              </w:rPr>
              <w:t xml:space="preserve"> Eine </w:t>
            </w:r>
            <w:r>
              <w:rPr>
                <w:rFonts w:ascii="Arial" w:hAnsi="Arial" w:eastAsia="Arial" w:cs="Arial"/>
                <w:b/>
                <w:bCs/>
                <w:color w:val="000000"/>
                <w:position w:val="0"/>
                <w:sz w:val="20"/>
                <w:szCs w:val="20"/>
              </w:rPr>
              <w:t xml:space="preserve">einseitige
Beendigung</w:t>
            </w:r>
            <w:r>
              <w:rPr>
                <w:rFonts w:ascii="Arial" w:hAnsi="Arial" w:eastAsia="Arial" w:cs="Arial"/>
                <w:color w:val="000000"/>
                <w:position w:val="0"/>
                <w:sz w:val="20"/>
                <w:szCs w:val="20"/>
              </w:rPr>
              <w:t xml:space="preserve"> der Pflegekarenz unter Zurückkehren zur
Normalarbeitszeit ist </w:t>
            </w:r>
            <w:r>
              <w:rPr>
                <w:rFonts w:ascii="Arial" w:hAnsi="Arial" w:eastAsia="Arial" w:cs="Arial"/>
                <w:b/>
                <w:bCs/>
                <w:color w:val="000000"/>
                <w:position w:val="0"/>
                <w:sz w:val="20"/>
                <w:szCs w:val="20"/>
              </w:rPr>
              <w:t xml:space="preserve">nicht möglich</w:t>
            </w:r>
            <w:r>
              <w:rPr>
                <w:rFonts w:ascii="Arial" w:hAnsi="Arial" w:eastAsia="Arial" w:cs="Arial"/>
                <w:color w:val="000000"/>
                <w:position w:val="0"/>
                <w:sz w:val="20"/>
                <w:szCs w:val="20"/>
              </w:rPr>
              <w:t xml:space="preserve">, da
Arbeitnehmer sowie Arbeitgeber an die Vereinbarung gebunden sind
und diese mit Zeitablauf endet. Der Arbeitnehmer darf die
vorzeitige Rückkehr zur ursprünglichen Normalarbeitszeit verlangen,
wenn der nahe Angehörige</w:t>
            </w:r>
          </w:p>
          <w:p>
            <w:pPr>
              <w:numPr>
                <w:ilvl w:val="0"/>
                <w:numId w:val="80466880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in </w:t>
            </w:r>
            <w:r>
              <w:rPr>
                <w:rFonts w:ascii="Arial" w:hAnsi="Arial" w:eastAsia="Arial" w:cs="Arial"/>
                <w:b/>
                <w:bCs/>
                <w:color w:val="000000"/>
                <w:position w:val="0"/>
                <w:sz w:val="20"/>
                <w:szCs w:val="20"/>
              </w:rPr>
              <w:t xml:space="preserve">stationäre Pflege</w:t>
            </w:r>
            <w:r>
              <w:rPr>
                <w:rFonts w:ascii="Arial" w:hAnsi="Arial" w:eastAsia="Arial" w:cs="Arial"/>
                <w:color w:val="000000"/>
                <w:position w:val="0"/>
                <w:sz w:val="20"/>
                <w:szCs w:val="20"/>
              </w:rPr>
              <w:t xml:space="preserve"> oder Betreuung in
</w:t>
            </w:r>
            <w:r>
              <w:rPr>
                <w:rFonts w:ascii="Arial" w:hAnsi="Arial" w:eastAsia="Arial" w:cs="Arial"/>
                <w:b/>
                <w:bCs/>
                <w:color w:val="000000"/>
                <w:position w:val="0"/>
                <w:sz w:val="20"/>
                <w:szCs w:val="20"/>
              </w:rPr>
              <w:t xml:space="preserve">Pflegeheimen</w:t>
            </w:r>
            <w:r>
              <w:rPr>
                <w:rFonts w:ascii="Arial" w:hAnsi="Arial" w:eastAsia="Arial" w:cs="Arial"/>
                <w:color w:val="000000"/>
                <w:position w:val="0"/>
                <w:sz w:val="20"/>
                <w:szCs w:val="20"/>
              </w:rPr>
              <w:t xml:space="preserve"> und ähnlichen Einrichtungen
aufgenommen wird,</w:t>
            </w:r>
          </w:p>
          <w:p>
            <w:pPr>
              <w:numPr>
                <w:ilvl w:val="0"/>
                <w:numId w:val="804668805"/>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durch eine andere</w:t>
            </w:r>
            <w:r>
              <w:rPr>
                <w:rFonts w:ascii="Arial" w:hAnsi="Arial" w:eastAsia="Arial" w:cs="Arial"/>
                <w:b/>
                <w:bCs/>
                <w:color w:val="000000"/>
                <w:position w:val="0"/>
                <w:sz w:val="20"/>
                <w:szCs w:val="20"/>
              </w:rPr>
              <w:t xml:space="preserve">Betreuungsperson</w:t>
            </w:r>
            <w:r>
              <w:rPr>
                <w:rFonts w:ascii="Arial" w:hAnsi="Arial" w:eastAsia="Arial" w:cs="Arial"/>
                <w:color w:val="000000"/>
                <w:position w:val="0"/>
                <w:sz w:val="20"/>
                <w:szCs w:val="20"/>
              </w:rPr>
              <w:t xml:space="preserve"> nicht nur vorübergehend zur
Pflege oder Betreuung übernommen wird oder</w:t>
            </w:r>
          </w:p>
          <w:p>
            <w:pPr>
              <w:numPr>
                <w:ilvl w:val="0"/>
                <w:numId w:val="804668805"/>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stirbt</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Rückkehr darf frühestens zwei Wochen nach der Meldung des
Eintritts dieser Gründe erfolgen.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Kündigung:</w:t>
            </w:r>
            <w:r>
              <w:rPr>
                <w:rFonts w:ascii="Arial" w:hAnsi="Arial" w:eastAsia="Arial" w:cs="Arial"/>
                <w:color w:val="000000"/>
                <w:position w:val="0"/>
                <w:sz w:val="20"/>
                <w:szCs w:val="20"/>
              </w:rPr>
              <w:t xml:space="preserve"> Jeder Arbeitnehmer, der eine
Pflegekarenz antreten möchte oder angetreten hat, kann aus diesem
Grund nicht gekündigt werden
</w:t>
            </w:r>
            <w:r>
              <w:rPr>
                <w:rFonts w:ascii="Arial" w:hAnsi="Arial" w:eastAsia="Arial" w:cs="Arial"/>
                <w:b/>
                <w:bCs/>
                <w:color w:val="000000"/>
                <w:position w:val="0"/>
                <w:sz w:val="20"/>
                <w:szCs w:val="20"/>
              </w:rPr>
              <w:t xml:space="preserve">(Motivkündigungsschutz)</w:t>
            </w:r>
            <w:r>
              <w:rPr>
                <w:rFonts w:ascii="Arial" w:hAnsi="Arial" w:eastAsia="Arial" w:cs="Arial"/>
                <w:color w:val="000000"/>
                <w:position w:val="0"/>
                <w:sz w:val="20"/>
                <w:szCs w:val="20"/>
              </w:rPr>
              <w:t xml:space="preserve">. Der Arbeitnehmer kann
Kündigungen, die aus diesem Grund ausgesprochen wurden, vor Gericht
anfechten (§ 15 AVRAG).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Akzeptiert der Arbeitnehmer</w:t>
            </w:r>
            <w:r>
              <w:rPr>
                <w:rFonts w:ascii="Arial" w:hAnsi="Arial" w:eastAsia="Arial" w:cs="Arial"/>
                <w:color w:val="000000"/>
                <w:position w:val="0"/>
                <w:sz w:val="20"/>
                <w:szCs w:val="20"/>
              </w:rPr>
              <w:t xml:space="preserve"> die gegen ihn
unzulässig ausgesprochene Kündigung und verzichtet er auf eine
Anfechtung, so gebührt ihm bis zum Ende der Kündigungsfrist eine
</w:t>
            </w:r>
            <w:r>
              <w:rPr>
                <w:rFonts w:ascii="Arial" w:hAnsi="Arial" w:eastAsia="Arial" w:cs="Arial"/>
                <w:b/>
                <w:bCs/>
                <w:color w:val="000000"/>
                <w:position w:val="0"/>
                <w:sz w:val="20"/>
                <w:szCs w:val="20"/>
              </w:rPr>
              <w:t xml:space="preserve">Kündigungsentschädigung</w:t>
            </w:r>
            <w:r>
              <w:rPr>
                <w:rFonts w:ascii="Arial" w:hAnsi="Arial" w:eastAsia="Arial" w:cs="Arial"/>
                <w:color w:val="000000"/>
                <w:position w:val="0"/>
                <w:sz w:val="20"/>
                <w:szCs w:val="20"/>
              </w:rPr>
              <w:t xml:space="preserve"> unter Zugrundelegung des
Entgelts der ursprünglichen Normalarbeitszeit.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Kündigt der Dienstgeber den Dienstnehmer iZm diesen Maßnahmen
(Pflegekarenz, Pflegeteilzeit) kann der Dienstnehmer vom
Dienstgeber </w:t>
            </w:r>
            <w:r>
              <w:rPr>
                <w:rFonts w:ascii="Arial" w:hAnsi="Arial" w:eastAsia="Arial" w:cs="Arial"/>
                <w:b/>
                <w:bCs/>
                <w:color w:val="000000"/>
                <w:position w:val="0"/>
                <w:sz w:val="20"/>
                <w:szCs w:val="20"/>
              </w:rPr>
              <w:t xml:space="preserve">innerhalb von 5 Tagen</w:t>
            </w:r>
            <w:r>
              <w:rPr>
                <w:rFonts w:ascii="Arial" w:hAnsi="Arial" w:eastAsia="Arial" w:cs="Arial"/>
                <w:color w:val="000000"/>
                <w:position w:val="0"/>
                <w:sz w:val="20"/>
                <w:szCs w:val="20"/>
              </w:rPr>
              <w:t xml:space="preserve"> ab Erhalt der
Dienstgeberkündigung eine </w:t>
            </w:r>
            <w:r>
              <w:rPr>
                <w:rFonts w:ascii="Arial" w:hAnsi="Arial" w:eastAsia="Arial" w:cs="Arial"/>
                <w:b/>
                <w:bCs/>
                <w:color w:val="000000"/>
                <w:position w:val="0"/>
                <w:sz w:val="20"/>
                <w:szCs w:val="20"/>
              </w:rPr>
              <w:t xml:space="preserve">schriftliche Begründung</w:t>
            </w:r>
            <w:r>
              <w:rPr>
                <w:rFonts w:ascii="Arial" w:hAnsi="Arial" w:eastAsia="Arial" w:cs="Arial"/>
                <w:color w:val="000000"/>
                <w:position w:val="0"/>
                <w:sz w:val="20"/>
                <w:szCs w:val="20"/>
              </w:rPr>
              <w:t xml:space="preserve">
der Kündigung verlangen. Der Dienstgeber hat die (schriftliche)
Begründung der Kündigung </w:t>
            </w:r>
            <w:r>
              <w:rPr>
                <w:rFonts w:ascii="Arial" w:hAnsi="Arial" w:eastAsia="Arial" w:cs="Arial"/>
                <w:b/>
                <w:bCs/>
                <w:color w:val="000000"/>
                <w:position w:val="0"/>
                <w:sz w:val="20"/>
                <w:szCs w:val="20"/>
              </w:rPr>
              <w:t xml:space="preserve">binnen 5 Tagen</w:t>
            </w:r>
            <w:r>
              <w:rPr>
                <w:rFonts w:ascii="Arial" w:hAnsi="Arial" w:eastAsia="Arial" w:cs="Arial"/>
                <w:color w:val="000000"/>
                <w:position w:val="0"/>
                <w:sz w:val="20"/>
                <w:szCs w:val="20"/>
              </w:rPr>
              <w:t xml:space="preserve"> ab dem
Verlangen des Dienstnehmers auszustellen. Ohne einer schriftlichen
Kündigungsbegründung ist die </w:t>
            </w:r>
            <w:r>
              <w:rPr>
                <w:rFonts w:ascii="Arial" w:hAnsi="Arial" w:eastAsia="Arial" w:cs="Arial"/>
                <w:b/>
                <w:bCs/>
                <w:color w:val="000000"/>
                <w:position w:val="0"/>
                <w:sz w:val="20"/>
                <w:szCs w:val="20"/>
              </w:rPr>
              <w:t xml:space="preserve">Kündigung dennoch
rechtswirksam</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das Arbeitsverhältnis während der Pflegekarenz beendet (zB
Kündigung durch Arbeitnehmer), so ist als
</w:t>
            </w:r>
            <w:r>
              <w:rPr>
                <w:rFonts w:ascii="Arial" w:hAnsi="Arial" w:eastAsia="Arial" w:cs="Arial"/>
                <w:b/>
                <w:bCs/>
                <w:color w:val="000000"/>
                <w:position w:val="0"/>
                <w:sz w:val="20"/>
                <w:szCs w:val="20"/>
              </w:rPr>
              <w:t xml:space="preserve">Bemessungsgrundlage für die Berechnung der Abfertigung alt,
der Abfertigung nach dem BUAG</w:t>
            </w:r>
            <w:r>
              <w:rPr>
                <w:rFonts w:ascii="Arial" w:hAnsi="Arial" w:eastAsia="Arial" w:cs="Arial"/>
                <w:color w:val="000000"/>
                <w:position w:val="0"/>
                <w:sz w:val="20"/>
                <w:szCs w:val="20"/>
              </w:rPr>
              <w:t xml:space="preserve"> sowie der
</w:t>
            </w:r>
            <w:r>
              <w:rPr>
                <w:rFonts w:ascii="Arial" w:hAnsi="Arial" w:eastAsia="Arial" w:cs="Arial"/>
                <w:b/>
                <w:bCs/>
                <w:color w:val="000000"/>
                <w:position w:val="0"/>
                <w:sz w:val="20"/>
                <w:szCs w:val="20"/>
              </w:rPr>
              <w:t xml:space="preserve">Urlaubsersatzleistung</w:t>
            </w:r>
            <w:r>
              <w:rPr>
                <w:rFonts w:ascii="Arial" w:hAnsi="Arial" w:eastAsia="Arial" w:cs="Arial"/>
                <w:color w:val="000000"/>
                <w:position w:val="0"/>
                <w:sz w:val="20"/>
                <w:szCs w:val="20"/>
              </w:rPr>
              <w:t xml:space="preserve"> das für den letzten Monat
vor Antritt der Pflegekarenz gebührende Entgelt heranzuziehen
(§§ 11 Abs 4 iVm 14c Abs 5 AVRAG).</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10602" w:name="note8"/>
            <w:bookmarkEnd w:id="9210602"/>
            <w:bookmarkStart w:id="5021201067317" w:name="note8"/>
            <w:r>
              <w:rPr>
                <w:rFonts w:ascii="Arial" w:hAnsi="Arial" w:eastAsia="Arial" w:cs="Arial"/>
                <w:b/>
                <w:bCs/>
                <w:color w:val="000000"/>
                <w:position w:val="0"/>
                <w:sz w:val="20"/>
                <w:szCs w:val="20"/>
              </w:rPr>
              <w:t xml:space="preserve">[8]</w:t>
            </w:r>
            <w:bookmarkEnd w:id="50212010673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Pflegestufe:</w:t>
            </w:r>
            <w:r>
              <w:rPr>
                <w:rFonts w:ascii="Arial" w:hAnsi="Arial" w:eastAsia="Arial" w:cs="Arial"/>
                <w:color w:val="000000"/>
                <w:position w:val="0"/>
                <w:sz w:val="20"/>
                <w:szCs w:val="20"/>
              </w:rPr>
              <w:t xml:space="preserve"> Voraussetzung für Pflegekarenz
ist, dass dem/der zu pflegenden Angehörigen zum Zeitpunkt des
Antritts der Pflegekarenz </w:t>
            </w:r>
            <w:r>
              <w:rPr>
                <w:rFonts w:ascii="Arial" w:hAnsi="Arial" w:eastAsia="Arial" w:cs="Arial"/>
                <w:b/>
                <w:bCs/>
                <w:color w:val="000000"/>
                <w:position w:val="0"/>
                <w:sz w:val="20"/>
                <w:szCs w:val="20"/>
              </w:rPr>
              <w:t xml:space="preserve">ein Pflegegeld ab der Pflegestufe
3 nach § 5 BPGG mit Bescheid zuerkannt wurde.</w:t>
            </w:r>
            <w:r>
              <w:rPr>
                <w:rFonts w:ascii="Arial" w:hAnsi="Arial" w:eastAsia="Arial" w:cs="Arial"/>
                <w:color w:val="000000"/>
                <w:position w:val="0"/>
                <w:sz w:val="20"/>
                <w:szCs w:val="20"/>
              </w:rPr>
              <w:t xml:space="preserve"> Das
Pflegegeld gebührt, wenn aufgrund einer körperlichen, geistigen
oder psychischen Behinderung oder einer Sinnesbehinderung der
ständige Betreuungs- und Hilfsbedarf (Pflegebedarf) voraussichtlich
mindestens sechs Monate andauern wird oder würde. Für die
Pflegestufe 3 muss der Pflegebedarf durchschnittlich mehr als 120
Stunden monatlich betragen (§ 4 BPGG). Bei nachweislich
demenziell erkrankten oder minderjährigen nahen Angehörigen ist
eine Pflegekarenzvereinbarung bereits ab der Pflegegeldstufe 1
möglich.</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195807" w:name="note9"/>
            <w:bookmarkEnd w:id="68195807"/>
            <w:bookmarkStart w:id="5863990740688" w:name="note9"/>
            <w:r>
              <w:rPr>
                <w:rFonts w:ascii="Arial" w:hAnsi="Arial" w:eastAsia="Arial" w:cs="Arial"/>
                <w:b/>
                <w:bCs/>
                <w:color w:val="000000"/>
                <w:position w:val="0"/>
                <w:sz w:val="20"/>
                <w:szCs w:val="20"/>
              </w:rPr>
              <w:t xml:space="preserve">[9]</w:t>
            </w:r>
            <w:bookmarkEnd w:id="586399074068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Betriebsrat:</w:t>
            </w:r>
            <w:r>
              <w:rPr>
                <w:rFonts w:ascii="Arial" w:hAnsi="Arial" w:eastAsia="Arial" w:cs="Arial"/>
                <w:color w:val="000000"/>
                <w:position w:val="0"/>
                <w:sz w:val="20"/>
                <w:szCs w:val="20"/>
              </w:rPr>
              <w:t xml:space="preserve"> In Betrieben, in denen ein für den
Arbeitnehmer zuständiger </w:t>
            </w:r>
            <w:r>
              <w:rPr>
                <w:rFonts w:ascii="Arial" w:hAnsi="Arial" w:eastAsia="Arial" w:cs="Arial"/>
                <w:b/>
                <w:bCs/>
                <w:color w:val="000000"/>
                <w:position w:val="0"/>
                <w:sz w:val="20"/>
                <w:szCs w:val="20"/>
              </w:rPr>
              <w:t xml:space="preserve">Betriebsrat</w:t>
            </w:r>
            <w:r>
              <w:rPr>
                <w:rFonts w:ascii="Arial" w:hAnsi="Arial" w:eastAsia="Arial" w:cs="Arial"/>
                <w:color w:val="000000"/>
                <w:position w:val="0"/>
                <w:sz w:val="20"/>
                <w:szCs w:val="20"/>
              </w:rPr>
              <w:t xml:space="preserve"> errichtet
ist, ist dieser auf Verlangen des Arbeitnehmers den Verhandlungen
beizuziehen.</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6688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012726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309932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383967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280687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798936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2063329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18203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921370">
    <w:multiLevelType w:val="hybridMultilevel"/>
    <w:lvl w:ilvl="0" w:tplc="12448914">
      <w:start w:val="1"/>
      <w:numFmt w:val="decimal"/>
      <w:lvlText w:val="%1."/>
      <w:lvlJc w:val="left"/>
      <w:pPr>
        <w:ind w:left="720" w:hanging="360"/>
      </w:pPr>
    </w:lvl>
    <w:lvl w:ilvl="1" w:tplc="12448914" w:tentative="1">
      <w:start w:val="1"/>
      <w:numFmt w:val="lowerLetter"/>
      <w:lvlText w:val="%2."/>
      <w:lvlJc w:val="left"/>
      <w:pPr>
        <w:ind w:left="1440" w:hanging="360"/>
      </w:pPr>
    </w:lvl>
    <w:lvl w:ilvl="2" w:tplc="12448914" w:tentative="1">
      <w:start w:val="1"/>
      <w:numFmt w:val="lowerRoman"/>
      <w:lvlText w:val="%3."/>
      <w:lvlJc w:val="right"/>
      <w:pPr>
        <w:ind w:left="2160" w:hanging="180"/>
      </w:pPr>
    </w:lvl>
    <w:lvl w:ilvl="3" w:tplc="12448914" w:tentative="1">
      <w:start w:val="1"/>
      <w:numFmt w:val="decimal"/>
      <w:lvlText w:val="%4."/>
      <w:lvlJc w:val="left"/>
      <w:pPr>
        <w:ind w:left="2880" w:hanging="360"/>
      </w:pPr>
    </w:lvl>
    <w:lvl w:ilvl="4" w:tplc="12448914" w:tentative="1">
      <w:start w:val="1"/>
      <w:numFmt w:val="lowerLetter"/>
      <w:lvlText w:val="%5."/>
      <w:lvlJc w:val="left"/>
      <w:pPr>
        <w:ind w:left="3600" w:hanging="360"/>
      </w:pPr>
    </w:lvl>
    <w:lvl w:ilvl="5" w:tplc="12448914" w:tentative="1">
      <w:start w:val="1"/>
      <w:numFmt w:val="lowerRoman"/>
      <w:lvlText w:val="%6."/>
      <w:lvlJc w:val="right"/>
      <w:pPr>
        <w:ind w:left="4320" w:hanging="180"/>
      </w:pPr>
    </w:lvl>
    <w:lvl w:ilvl="6" w:tplc="12448914" w:tentative="1">
      <w:start w:val="1"/>
      <w:numFmt w:val="decimal"/>
      <w:lvlText w:val="%7."/>
      <w:lvlJc w:val="left"/>
      <w:pPr>
        <w:ind w:left="5040" w:hanging="360"/>
      </w:pPr>
    </w:lvl>
    <w:lvl w:ilvl="7" w:tplc="12448914" w:tentative="1">
      <w:start w:val="1"/>
      <w:numFmt w:val="lowerLetter"/>
      <w:lvlText w:val="%8."/>
      <w:lvlJc w:val="left"/>
      <w:pPr>
        <w:ind w:left="5760" w:hanging="360"/>
      </w:pPr>
    </w:lvl>
    <w:lvl w:ilvl="8" w:tplc="12448914" w:tentative="1">
      <w:start w:val="1"/>
      <w:numFmt w:val="lowerRoman"/>
      <w:lvlText w:val="%9."/>
      <w:lvlJc w:val="right"/>
      <w:pPr>
        <w:ind w:left="6480" w:hanging="180"/>
      </w:pPr>
    </w:lvl>
  </w:abstractNum>
  <w:abstractNum w:abstractNumId="93921369">
    <w:multiLevelType w:val="hybridMultilevel"/>
    <w:lvl w:ilvl="0" w:tplc="73612310">
      <w:start w:val="1"/>
      <w:numFmt w:val="decimal"/>
      <w:lvlText w:val="%1."/>
      <w:lvlJc w:val="left"/>
      <w:pPr>
        <w:ind w:left="720" w:hanging="360"/>
      </w:pPr>
    </w:lvl>
    <w:lvl w:ilvl="1" w:tplc="73612310" w:tentative="1">
      <w:start w:val="1"/>
      <w:numFmt w:val="lowerLetter"/>
      <w:lvlText w:val="%2."/>
      <w:lvlJc w:val="left"/>
      <w:pPr>
        <w:ind w:left="1440" w:hanging="360"/>
      </w:pPr>
    </w:lvl>
    <w:lvl w:ilvl="2" w:tplc="73612310" w:tentative="1">
      <w:start w:val="1"/>
      <w:numFmt w:val="lowerRoman"/>
      <w:lvlText w:val="%3."/>
      <w:lvlJc w:val="right"/>
      <w:pPr>
        <w:ind w:left="2160" w:hanging="180"/>
      </w:pPr>
    </w:lvl>
    <w:lvl w:ilvl="3" w:tplc="73612310" w:tentative="1">
      <w:start w:val="1"/>
      <w:numFmt w:val="decimal"/>
      <w:lvlText w:val="%4."/>
      <w:lvlJc w:val="left"/>
      <w:pPr>
        <w:ind w:left="2880" w:hanging="360"/>
      </w:pPr>
    </w:lvl>
    <w:lvl w:ilvl="4" w:tplc="73612310" w:tentative="1">
      <w:start w:val="1"/>
      <w:numFmt w:val="lowerLetter"/>
      <w:lvlText w:val="%5."/>
      <w:lvlJc w:val="left"/>
      <w:pPr>
        <w:ind w:left="3600" w:hanging="360"/>
      </w:pPr>
    </w:lvl>
    <w:lvl w:ilvl="5" w:tplc="73612310" w:tentative="1">
      <w:start w:val="1"/>
      <w:numFmt w:val="lowerRoman"/>
      <w:lvlText w:val="%6."/>
      <w:lvlJc w:val="right"/>
      <w:pPr>
        <w:ind w:left="4320" w:hanging="180"/>
      </w:pPr>
    </w:lvl>
    <w:lvl w:ilvl="6" w:tplc="73612310" w:tentative="1">
      <w:start w:val="1"/>
      <w:numFmt w:val="decimal"/>
      <w:lvlText w:val="%7."/>
      <w:lvlJc w:val="left"/>
      <w:pPr>
        <w:ind w:left="5040" w:hanging="360"/>
      </w:pPr>
    </w:lvl>
    <w:lvl w:ilvl="7" w:tplc="73612310" w:tentative="1">
      <w:start w:val="1"/>
      <w:numFmt w:val="lowerLetter"/>
      <w:lvlText w:val="%8."/>
      <w:lvlJc w:val="left"/>
      <w:pPr>
        <w:ind w:left="5760" w:hanging="360"/>
      </w:pPr>
    </w:lvl>
    <w:lvl w:ilvl="8" w:tplc="73612310" w:tentative="1">
      <w:start w:val="1"/>
      <w:numFmt w:val="lowerRoman"/>
      <w:lvlText w:val="%9."/>
      <w:lvlJc w:val="right"/>
      <w:pPr>
        <w:ind w:left="6480" w:hanging="180"/>
      </w:pPr>
    </w:lvl>
  </w:abstractNum>
  <w:abstractNum w:abstractNumId="93921368">
    <w:multiLevelType w:val="hybridMultilevel"/>
    <w:lvl w:ilvl="0" w:tplc="53533342">
      <w:start w:val="1"/>
      <w:numFmt w:val="decimal"/>
      <w:lvlText w:val="%1."/>
      <w:lvlJc w:val="left"/>
      <w:pPr>
        <w:ind w:left="720" w:hanging="360"/>
      </w:pPr>
    </w:lvl>
    <w:lvl w:ilvl="1" w:tplc="53533342" w:tentative="1">
      <w:start w:val="1"/>
      <w:numFmt w:val="lowerLetter"/>
      <w:lvlText w:val="%2."/>
      <w:lvlJc w:val="left"/>
      <w:pPr>
        <w:ind w:left="1440" w:hanging="360"/>
      </w:pPr>
    </w:lvl>
    <w:lvl w:ilvl="2" w:tplc="53533342" w:tentative="1">
      <w:start w:val="1"/>
      <w:numFmt w:val="lowerRoman"/>
      <w:lvlText w:val="%3."/>
      <w:lvlJc w:val="right"/>
      <w:pPr>
        <w:ind w:left="2160" w:hanging="180"/>
      </w:pPr>
    </w:lvl>
    <w:lvl w:ilvl="3" w:tplc="53533342" w:tentative="1">
      <w:start w:val="1"/>
      <w:numFmt w:val="decimal"/>
      <w:lvlText w:val="%4."/>
      <w:lvlJc w:val="left"/>
      <w:pPr>
        <w:ind w:left="2880" w:hanging="360"/>
      </w:pPr>
    </w:lvl>
    <w:lvl w:ilvl="4" w:tplc="53533342" w:tentative="1">
      <w:start w:val="1"/>
      <w:numFmt w:val="lowerLetter"/>
      <w:lvlText w:val="%5."/>
      <w:lvlJc w:val="left"/>
      <w:pPr>
        <w:ind w:left="3600" w:hanging="360"/>
      </w:pPr>
    </w:lvl>
    <w:lvl w:ilvl="5" w:tplc="53533342" w:tentative="1">
      <w:start w:val="1"/>
      <w:numFmt w:val="lowerRoman"/>
      <w:lvlText w:val="%6."/>
      <w:lvlJc w:val="right"/>
      <w:pPr>
        <w:ind w:left="4320" w:hanging="180"/>
      </w:pPr>
    </w:lvl>
    <w:lvl w:ilvl="6" w:tplc="53533342" w:tentative="1">
      <w:start w:val="1"/>
      <w:numFmt w:val="decimal"/>
      <w:lvlText w:val="%7."/>
      <w:lvlJc w:val="left"/>
      <w:pPr>
        <w:ind w:left="5040" w:hanging="360"/>
      </w:pPr>
    </w:lvl>
    <w:lvl w:ilvl="7" w:tplc="53533342" w:tentative="1">
      <w:start w:val="1"/>
      <w:numFmt w:val="lowerLetter"/>
      <w:lvlText w:val="%8."/>
      <w:lvlJc w:val="left"/>
      <w:pPr>
        <w:ind w:left="5760" w:hanging="360"/>
      </w:pPr>
    </w:lvl>
    <w:lvl w:ilvl="8" w:tplc="53533342" w:tentative="1">
      <w:start w:val="1"/>
      <w:numFmt w:val="lowerRoman"/>
      <w:lvlText w:val="%9."/>
      <w:lvlJc w:val="right"/>
      <w:pPr>
        <w:ind w:left="6480" w:hanging="180"/>
      </w:pPr>
    </w:lvl>
  </w:abstractNum>
  <w:abstractNum w:abstractNumId="57251567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7999133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921367">
    <w:multiLevelType w:val="hybridMultilevel"/>
    <w:lvl w:ilvl="0" w:tplc="16385177">
      <w:start w:val="1"/>
      <w:numFmt w:val="decimal"/>
      <w:lvlText w:val="%1."/>
      <w:lvlJc w:val="left"/>
      <w:pPr>
        <w:ind w:left="720" w:hanging="360"/>
      </w:pPr>
    </w:lvl>
    <w:lvl w:ilvl="1" w:tplc="16385177" w:tentative="1">
      <w:start w:val="1"/>
      <w:numFmt w:val="lowerLetter"/>
      <w:lvlText w:val="%2."/>
      <w:lvlJc w:val="left"/>
      <w:pPr>
        <w:ind w:left="1440" w:hanging="360"/>
      </w:pPr>
    </w:lvl>
    <w:lvl w:ilvl="2" w:tplc="16385177" w:tentative="1">
      <w:start w:val="1"/>
      <w:numFmt w:val="lowerRoman"/>
      <w:lvlText w:val="%3."/>
      <w:lvlJc w:val="right"/>
      <w:pPr>
        <w:ind w:left="2160" w:hanging="180"/>
      </w:pPr>
    </w:lvl>
    <w:lvl w:ilvl="3" w:tplc="16385177" w:tentative="1">
      <w:start w:val="1"/>
      <w:numFmt w:val="decimal"/>
      <w:lvlText w:val="%4."/>
      <w:lvlJc w:val="left"/>
      <w:pPr>
        <w:ind w:left="2880" w:hanging="360"/>
      </w:pPr>
    </w:lvl>
    <w:lvl w:ilvl="4" w:tplc="16385177" w:tentative="1">
      <w:start w:val="1"/>
      <w:numFmt w:val="lowerLetter"/>
      <w:lvlText w:val="%5."/>
      <w:lvlJc w:val="left"/>
      <w:pPr>
        <w:ind w:left="3600" w:hanging="360"/>
      </w:pPr>
    </w:lvl>
    <w:lvl w:ilvl="5" w:tplc="16385177" w:tentative="1">
      <w:start w:val="1"/>
      <w:numFmt w:val="lowerRoman"/>
      <w:lvlText w:val="%6."/>
      <w:lvlJc w:val="right"/>
      <w:pPr>
        <w:ind w:left="4320" w:hanging="180"/>
      </w:pPr>
    </w:lvl>
    <w:lvl w:ilvl="6" w:tplc="16385177" w:tentative="1">
      <w:start w:val="1"/>
      <w:numFmt w:val="decimal"/>
      <w:lvlText w:val="%7."/>
      <w:lvlJc w:val="left"/>
      <w:pPr>
        <w:ind w:left="5040" w:hanging="360"/>
      </w:pPr>
    </w:lvl>
    <w:lvl w:ilvl="7" w:tplc="16385177" w:tentative="1">
      <w:start w:val="1"/>
      <w:numFmt w:val="lowerLetter"/>
      <w:lvlText w:val="%8."/>
      <w:lvlJc w:val="left"/>
      <w:pPr>
        <w:ind w:left="5760" w:hanging="360"/>
      </w:pPr>
    </w:lvl>
    <w:lvl w:ilvl="8" w:tplc="16385177" w:tentative="1">
      <w:start w:val="1"/>
      <w:numFmt w:val="lowerRoman"/>
      <w:lvlText w:val="%9."/>
      <w:lvlJc w:val="right"/>
      <w:pPr>
        <w:ind w:left="6480" w:hanging="180"/>
      </w:pPr>
    </w:lvl>
  </w:abstractNum>
  <w:abstractNum w:abstractNumId="93921366">
    <w:multiLevelType w:val="hybridMultilevel"/>
    <w:lvl w:ilvl="0" w:tplc="30493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21366">
    <w:abstractNumId w:val="93921366"/>
  </w:num>
  <w:num w:numId="93921367">
    <w:abstractNumId w:val="93921367"/>
  </w:num>
  <w:num w:numId="879991338">
    <w:abstractNumId w:val="879991338"/>
  </w:num>
  <w:num w:numId="572515674">
    <w:abstractNumId w:val="572515674"/>
  </w:num>
  <w:num w:numId="93921368">
    <w:abstractNumId w:val="93921368"/>
  </w:num>
  <w:num w:numId="93921369">
    <w:abstractNumId w:val="93921369"/>
  </w:num>
  <w:num w:numId="93921370">
    <w:abstractNumId w:val="93921370"/>
  </w:num>
  <w:num w:numId="921820335">
    <w:abstractNumId w:val="921820335"/>
  </w:num>
  <w:num w:numId="420633295">
    <w:abstractNumId w:val="420633295"/>
  </w:num>
  <w:num w:numId="317989365">
    <w:abstractNumId w:val="317989365"/>
  </w:num>
  <w:num w:numId="672806879">
    <w:abstractNumId w:val="672806879"/>
  </w:num>
  <w:num w:numId="463839674">
    <w:abstractNumId w:val="463839674"/>
  </w:num>
  <w:num w:numId="730993245">
    <w:abstractNumId w:val="730993245"/>
  </w:num>
  <w:num w:numId="901272614">
    <w:abstractNumId w:val="901272614"/>
  </w:num>
  <w:num w:numId="804668805">
    <w:abstractNumId w:val="804668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40978642" Type="http://schemas.openxmlformats.org/officeDocument/2006/relationships/numbering" Target="numbering.xml"/><Relationship Id="rId85380024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