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7465463" w:name="document"/>
    <w:bookmarkEnd w:id="77465463"/>
    <w:p/>
    <w:p>
      <w:pPr>
        <w:widowControl w:val="on"/>
        <w:pBdr/>
        <w:spacing w:before="0" w:after="280" w:line="240" w:lineRule="auto"/>
        <w:ind w:left="0" w:right="0"/>
        <w:jc w:val="left"/>
      </w:pPr>
      <w:r>
        <w:rPr>
          <w:rFonts w:ascii="Arial" w:hAnsi="Arial" w:eastAsia="Arial" w:cs="Arial"/>
          <w:color w:val="363A40"/>
          <w:sz w:val="24"/>
          <w:szCs w:val="24"/>
        </w:rPr>
        <w:t xml:space="preserve">Dokument-ID: 1183794 | Wolfgang Schöberl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Feststellung der Nichtigkeit eines Vertrages wegen
Geschäftsunfähigkeit</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Ist ein Vertragsteil geschäftsunfähig, ist der Vertrag nichtig
(§ 865 ABGB). Die Nichtigkeit wirkt absolut und ist
unverzichtbar. Sie kann von jedem geltend gemacht werden, der ein
rechtliches Interesse an der Feststellung der Nichtigkeit hat.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 LG für ZRS Wien</w:t>
      </w:r>
      <w:r>
        <w:rPr>
          <w:rFonts w:ascii="Arial" w:hAnsi="Arial" w:eastAsia="Arial" w:cs="Arial"/>
          <w:color w:val="000000"/>
          <w:sz w:val="20"/>
          <w:szCs w:val="20"/>
        </w:rPr>
        <w:br/>
        <w:t xml:space="preserve">Schmerlingplatz 11</w:t>
      </w:r>
      <w:r>
        <w:rPr>
          <w:rFonts w:ascii="Arial" w:hAnsi="Arial" w:eastAsia="Arial" w:cs="Arial"/>
          <w:color w:val="000000"/>
          <w:sz w:val="20"/>
          <w:szCs w:val="20"/>
        </w:rPr>
        <w:br/>
        <w:t xml:space="preserve">1011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07.01.2023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Klara Kornbeisser</w:t>
            </w:r>
            <w:r>
              <w:rPr>
                <w:rFonts w:ascii="Arial" w:hAnsi="Arial" w:eastAsia="Arial" w:cs="Arial"/>
                <w:color w:val="000000"/>
                <w:position w:val="0"/>
                <w:sz w:val="20"/>
                <w:szCs w:val="20"/>
                <w:shd w:val="clear" w:color="auto" w:fill="FFFFFF"/>
              </w:rPr>
              <w:br/>
              <w:t xml:space="preserve">Seepromenade 22</w:t>
            </w:r>
            <w:r>
              <w:rPr>
                <w:rFonts w:ascii="Arial" w:hAnsi="Arial" w:eastAsia="Arial" w:cs="Arial"/>
                <w:color w:val="000000"/>
                <w:position w:val="0"/>
                <w:sz w:val="20"/>
                <w:szCs w:val="20"/>
                <w:shd w:val="clear" w:color="auto" w:fill="FFFFFF"/>
              </w:rPr>
              <w:br/>
              <w:t xml:space="preserve">5310 Mondsee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Klothilde Kornbeisser</w:t>
            </w:r>
            <w:r>
              <w:rPr>
                <w:rFonts w:ascii="Arial" w:hAnsi="Arial" w:eastAsia="Arial" w:cs="Arial"/>
                <w:color w:val="000000"/>
                <w:position w:val="0"/>
                <w:sz w:val="20"/>
                <w:szCs w:val="20"/>
                <w:shd w:val="clear" w:color="auto" w:fill="FFFFFF"/>
              </w:rPr>
              <w:br/>
              <w:t xml:space="preserve">Im Weingarten 48</w:t>
            </w:r>
            <w:r>
              <w:rPr>
                <w:rFonts w:ascii="Arial" w:hAnsi="Arial" w:eastAsia="Arial" w:cs="Arial"/>
                <w:color w:val="000000"/>
                <w:position w:val="0"/>
                <w:sz w:val="20"/>
                <w:szCs w:val="20"/>
                <w:shd w:val="clear" w:color="auto" w:fill="FFFFFF"/>
              </w:rPr>
              <w:br/>
              <w:t xml:space="preserve">1210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 der Nichtigkeit eines Schenkungsvertrages</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(Streitwert: EUR 200.000,– gem JN/GGG/RATG)</w:t>
            </w:r>
          </w:p>
        </w:tc>
      </w:tr>
    </w:tbl>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4Beilagen</w:t>
      </w:r>
    </w:p>
    <w:p>
      <w:pPr>
        <w:widowControl w:val="on"/>
        <w:pBdr/>
        <w:spacing w:before="140" w:after="240" w:line="288" w:lineRule="auto"/>
        <w:ind w:left="0" w:right="0"/>
        <w:jc w:val="left"/>
      </w:pPr>
      <w:r>
        <w:rPr>
          <w:rFonts w:ascii="Arial" w:hAnsi="Arial" w:eastAsia="Arial" w:cs="Arial"/>
          <w:color w:val="000000"/>
          <w:sz w:val="20"/>
          <w:szCs w:val="20"/>
        </w:rPr>
        <w:t xml:space="preserve">In umseits rubrizierter Rechtssache hat die Klägerin den
Rechtsanwalt Dr. Wolfgang Schöberl, der sich gem § 30
Abs 2 ZPO auf die erteilte Vollmacht beruft, mit ihrer
Vertretung beauftragt. Durch ihren ausgewiesenen Vertreter erhebt
die Klägerin die nachstehende</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Es handelt sich um eine allgemeine Streitsache, der Streitwert
übersteigt EUR 15.000,–. Die Beklagte ist im Sprengel des
angerufenen Gerichtes wohnhaft. Daher ist dieses gem §§ 49 iVm
50 iVm 65 ff JN örtlich und sachlich zuständig.</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Die Streitteile sind die beiden Kinder des am 01.04.2022 im 98.
Lebensjahr verstorbenen Herrn Konrad Kornbeisser. Die Mutter der
Streitteile ist bereits vorverstorben. Der Erblasser hatte kein
Testament errichtet, die Streitteile sind daher nach der
gesetzlichen Erbfolge jeweils zur Hälfte zu Erben berufen. Sie
haben entsprechende bedingte Erbantrittserklärungen abgegeben. Die
Verlassenschaftsabhandlung ist beim BG Floridsdorf zur GZ: 2 A
27/15g anhängig. Der Nachlass ist weitestgehend vermögenslos.</w:t>
      </w:r>
    </w:p>
    <w:p>
      <w:pPr>
        <w:widowControl w:val="on"/>
        <w:pBdr/>
        <w:spacing w:before="140" w:after="240" w:line="288" w:lineRule="auto"/>
        <w:ind w:left="0" w:right="0"/>
        <w:jc w:val="left"/>
      </w:pPr>
      <w:r>
        <w:rPr>
          <w:rFonts w:ascii="Arial" w:hAnsi="Arial" w:eastAsia="Arial" w:cs="Arial"/>
          <w:color w:val="000000"/>
          <w:sz w:val="20"/>
          <w:szCs w:val="20"/>
        </w:rPr>
        <w:t xml:space="preserve">Der Vater der Streitteile war jedoch Eigentümer der Liegenschaft
EZ 1210 KG 12100 Floridsdorf. Diese hatte er der Beklagten mit
Schenkungsvertrag vom 23.03.2022, sohin nur wenige Wochen vor
seinem Tod, geschenkt. Der Wert dieser Liegenschaft beträgt gem den
von der Klägerin angestellten Erhebungen EUR 200.000,–.</w:t>
      </w:r>
    </w:p>
    <w:p>
      <w:pPr>
        <w:widowControl w:val="on"/>
        <w:pBdr/>
        <w:spacing w:before="140" w:after="240" w:line="288" w:lineRule="auto"/>
        <w:ind w:left="0" w:right="0"/>
        <w:jc w:val="left"/>
      </w:pPr>
      <w:r>
        <w:rPr>
          <w:rFonts w:ascii="Arial" w:hAnsi="Arial" w:eastAsia="Arial" w:cs="Arial"/>
          <w:color w:val="000000"/>
          <w:sz w:val="20"/>
          <w:szCs w:val="20"/>
        </w:rPr>
        <w:t xml:space="preserve">Wie die Klägerin nunmehr umfassend recherchiert hat, war der
Vater der Streitteile bei Abschluss des Schenkungsvertrages nicht
mehr geschäftsfähig: Er war erst wenige Tage zuvor von einem langen
Krankenhausaufenthalt entlassen worden. Seine Demenz wurde immer
ausgeprägter, er musste auch starke Medikamente einnehmen. Bei den
zahlreichen Besuchen der Klägerin im Krankenhaus hat er diese nicht
mehr erkannt. Demgemäß wird auch im Entlassungsbericht eine starke
Desorientiertheit des Vaters der Streitteile geschildert und
festgehalten, dass dieser einer 24-Stunden-Pflege bedarf. Die
Entlassung erfolgte auch nur auf sehr starkes Insistieren der
Beklagten, die den Vater bei sich zu Hause aufnahm. Danach
verstärkten sich seine Demenz und die Desorientheit, die den
Charakter einer starken psychischen Beeinträchtigung hatten,
offenbar noch weiter, was die Beklagte aber nicht davon abhielt, am
23.03.2022 den Notar Dr. Karl Schreiber aus Mistelbach zu sich nach
Hause zu bestellen, der die Unterschriften auf dem
Schenkungsvertrag beglaubigte. Bezeichnenderweise bediente sich die
Beklagte eines vollkommen fremden Notars, und schaltete nicht den
jahrzehntelangen Vertrauensnotar der Familie, Herrn Dr. Ludwig
Loyal aus 1210 Wien, ein. Überdies wurde die Pflegerin, Frau
Branislava Kosickova, dazu angehalten, das Haus für einige Stunden
zu verlassen. Die Klägerin selbst wollte ihren Vater am 23.03.
besuchen, es wurde ihr aber unter verschiedenen Vorwänden der
Zutritt verwehrt.</w:t>
      </w:r>
    </w:p>
    <w:p>
      <w:pPr>
        <w:widowControl w:val="on"/>
        <w:pBdr/>
        <w:spacing w:before="140" w:after="240" w:line="288" w:lineRule="auto"/>
        <w:ind w:left="0" w:right="0"/>
        <w:jc w:val="left"/>
      </w:pPr>
      <w:r>
        <w:rPr>
          <w:rFonts w:ascii="Arial" w:hAnsi="Arial" w:eastAsia="Arial" w:cs="Arial"/>
          <w:color w:val="000000"/>
          <w:sz w:val="20"/>
          <w:szCs w:val="20"/>
        </w:rPr>
        <w:t xml:space="preserve">Auffällig ist auch, dass der Schenkungsvertrag nicht etwa als
Notariatsakt errichtet wurde, sondern im Vertrag festgehalten
wurde, dass die wirkliche Übergabe des Schenkungsgegenstandes in
der Natur bereits erfolgt sei, sodass keine Notariatsaktspflicht
bestand, sondern die bloße Beglaubigung der Unterschriften
ausreichte. Der Unterschied ist evident: Bei einer bloßen
Unterschriftsbeglaubigung treffen den Notar keine weiteren
Nachforschungs- oder Prüfpflichten, einen Notariatsakt muss er
hingegen verlesen, und sich vergewissern, dass die Parteien die
Bedeutung der ihnen abverlangten rechtsgeschäftlichen Handlungen
verstehen. Die Verlesung eines Notariatsaktes dauert auch
wesentlich länger als eine bloße Unterschriftsbeglaubigung, die in
wenigen Minuten erledigt ist. Die Wahrscheinlichkeit, dass dem
Notar die Geschäftsunfähigkeit eines Vertragsteils auffällt, ist
also bei der Errichtung eines Notariatsaktes wesentlich höher.</w:t>
      </w:r>
    </w:p>
    <w:p>
      <w:pPr>
        <w:widowControl w:val="on"/>
        <w:pBdr/>
        <w:spacing w:before="140" w:after="240" w:line="288" w:lineRule="auto"/>
        <w:ind w:left="0" w:right="0"/>
        <w:jc w:val="left"/>
      </w:pPr>
      <w:r>
        <w:rPr>
          <w:rFonts w:ascii="Arial" w:hAnsi="Arial" w:eastAsia="Arial" w:cs="Arial"/>
          <w:color w:val="000000"/>
          <w:sz w:val="20"/>
          <w:szCs w:val="20"/>
        </w:rPr>
        <w:t xml:space="preserve">Nach Überzeugung der Klägerin hätte der Vater, wäre er Herr
seiner Sinne gewesen, der Beklagten niemals die Liegenschaft
geschenkt. Vielmehr hatte er stets geäußert, dass die Klägerin
diese Liegenschaft bekommen solle.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der Klägerin</w:t>
            </w:r>
            <w:r>
              <w:rPr>
                <w:rFonts w:ascii="Arial" w:hAnsi="Arial" w:eastAsia="Arial" w:cs="Arial"/>
                <w:color w:val="000000"/>
                <w:position w:val="0"/>
                <w:sz w:val="20"/>
                <w:szCs w:val="20"/>
                <w:shd w:val="clear" w:color="auto" w:fill="FFFFFF"/>
              </w:rPr>
              <w:br/>
              <w:t xml:space="preserve">Schenkungsvertrag vom 23.03.2022 (Beilage ./A)</w:t>
            </w:r>
            <w:r>
              <w:rPr>
                <w:rFonts w:ascii="Arial" w:hAnsi="Arial" w:eastAsia="Arial" w:cs="Arial"/>
                <w:color w:val="000000"/>
                <w:position w:val="0"/>
                <w:sz w:val="20"/>
                <w:szCs w:val="20"/>
                <w:shd w:val="clear" w:color="auto" w:fill="FFFFFF"/>
              </w:rPr>
              <w:br/>
              <w:t xml:space="preserve">Verkehrswertschätzung hinsichtlich der Liegenschaft EZ 1210 KG
12100</w:t>
            </w:r>
            <w:r>
              <w:rPr>
                <w:rFonts w:ascii="Arial" w:hAnsi="Arial" w:eastAsia="Arial" w:cs="Arial"/>
                <w:color w:val="000000"/>
                <w:position w:val="0"/>
                <w:sz w:val="20"/>
                <w:szCs w:val="20"/>
                <w:shd w:val="clear" w:color="auto" w:fill="FFFFFF"/>
              </w:rPr>
              <w:br/>
              <w:t xml:space="preserve">Floridsdorf (Beilage ./B),</w:t>
            </w:r>
            <w:r>
              <w:rPr>
                <w:rFonts w:ascii="Arial" w:hAnsi="Arial" w:eastAsia="Arial" w:cs="Arial"/>
                <w:color w:val="000000"/>
                <w:position w:val="0"/>
                <w:sz w:val="20"/>
                <w:szCs w:val="20"/>
                <w:shd w:val="clear" w:color="auto" w:fill="FFFFFF"/>
              </w:rPr>
              <w:br/>
              <w:t xml:space="preserve">Krankenhaus-Entlassungsbericht (Beilage ./C)</w:t>
            </w:r>
            <w:r>
              <w:rPr>
                <w:rFonts w:ascii="Arial" w:hAnsi="Arial" w:eastAsia="Arial" w:cs="Arial"/>
                <w:color w:val="000000"/>
                <w:position w:val="0"/>
                <w:sz w:val="20"/>
                <w:szCs w:val="20"/>
                <w:shd w:val="clear" w:color="auto" w:fill="FFFFFF"/>
              </w:rPr>
              <w:br/>
              <w:t xml:space="preserve">Konvolut von Befunden über den medizinischen Zustand des Vaters der
Streitteile (Beilage ./D)</w:t>
            </w:r>
            <w:r>
              <w:rPr>
                <w:rFonts w:ascii="Arial" w:hAnsi="Arial" w:eastAsia="Arial" w:cs="Arial"/>
                <w:color w:val="000000"/>
                <w:position w:val="0"/>
                <w:sz w:val="20"/>
                <w:szCs w:val="20"/>
                <w:shd w:val="clear" w:color="auto" w:fill="FFFFFF"/>
              </w:rPr>
              <w:br/>
              <w:t xml:space="preserve">Zeugin Branislava Kosickova, Malá ul. 140, SK-85200
Bratislava</w:t>
            </w:r>
            <w:r>
              <w:rPr>
                <w:rFonts w:ascii="Arial" w:hAnsi="Arial" w:eastAsia="Arial" w:cs="Arial"/>
                <w:color w:val="000000"/>
                <w:position w:val="0"/>
                <w:sz w:val="20"/>
                <w:szCs w:val="20"/>
                <w:shd w:val="clear" w:color="auto" w:fill="FFFFFF"/>
              </w:rPr>
              <w:br/>
              <w:t xml:space="preserve">Einholung eines medizinischen, neurologischen und
psychiatrischen</w:t>
            </w:r>
            <w:r>
              <w:rPr>
                <w:rFonts w:ascii="Arial" w:hAnsi="Arial" w:eastAsia="Arial" w:cs="Arial"/>
                <w:color w:val="000000"/>
                <w:position w:val="0"/>
                <w:sz w:val="20"/>
                <w:szCs w:val="20"/>
                <w:shd w:val="clear" w:color="auto" w:fill="FFFFFF"/>
              </w:rPr>
              <w:br/>
              <w:t xml:space="preserve">Sachverständigengutachtens</w:t>
            </w:r>
            <w:r>
              <w:rPr>
                <w:rFonts w:ascii="Arial" w:hAnsi="Arial" w:eastAsia="Arial" w:cs="Arial"/>
                <w:color w:val="000000"/>
                <w:position w:val="0"/>
                <w:sz w:val="20"/>
                <w:szCs w:val="20"/>
                <w:shd w:val="clear" w:color="auto" w:fill="FFFFFF"/>
              </w:rPr>
              <w:br/>
              <w:t xml:space="preserve">Weitere Beweise vorbehalten</w:t>
            </w:r>
          </w:p>
        </w:tc>
      </w:tr>
    </w:tbl>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Der gültige Abschluss eines Vertrages setzt Geschäftsfähigkeit
voraus. Das war beim Vater der Streitteile bei Abschluss des
Schenkungsvertrages aufgrund seines geistigen Zustandes nicht mehr
der Fall: Er war aufgrund seiner psychischen Beeinträchtigung
(insbesondere Demenz, Desorientiertheit) nicht mehr in der Lage,
die Tragweite seines Handelns abzuschätzen, und danach zu
disponieren (6 Ob 44/13h; 8 Ob 144/01m; 6 Ob 280/01x). Daher ist
der Vertrag nichtig (§ 865 ABGB). Die Nichtigkeit wirkt
absolut, und ist unverzichtbar. Sie kann bei rechtlichem Interesse
auch von einem Dritten geltend gemacht werden (vgl 3 Ob 601/89; 7
Ob 598/76 ua). Der Klägerin kommt ein derartiges rechtliches
Interesse zu, weil sich bei Nichtigkeit des Schenkungsvertrages der
Wert ihres Erbteiles maßgeblich vergrößert: Bei einer Schenkung zu
Lebzeiten steht ihr an sich nur der Pflichtteilsergänzungsanspruch
(Schenkungspflichtteil) zu, der lediglich die Hälfte ihres
gesetzlichen Erbteils beträgt, also ein Viertel des Wertes der
Liegenschaft. Wird hingegen die Nichtigkeit des Schenkungsvertrages
festgestellt, fällt die Liegenschaft in den Nachlass. Dann steht
der Klägerin – als Erbin – die Hälfte von deren Wert zu.</w:t>
      </w:r>
    </w:p>
    <w:p>
      <w:pPr>
        <w:widowControl w:val="on"/>
        <w:pBdr/>
        <w:spacing w:before="140" w:after="240" w:line="288" w:lineRule="auto"/>
        <w:ind w:left="0" w:right="0"/>
        <w:jc w:val="left"/>
      </w:pPr>
      <w:r>
        <w:rPr>
          <w:rFonts w:ascii="Arial" w:hAnsi="Arial" w:eastAsia="Arial" w:cs="Arial"/>
          <w:color w:val="000000"/>
          <w:sz w:val="20"/>
          <w:szCs w:val="20"/>
        </w:rPr>
        <w:t xml:space="preserve">Der Streitgegenstand wird mit dem Wert der Liegenschaft, sohin
mit EUR 200.000,–, bewertet.</w:t>
      </w:r>
    </w:p>
    <w:p>
      <w:pPr>
        <w:widowControl w:val="on"/>
        <w:pBdr/>
        <w:spacing w:before="140" w:after="240" w:line="288" w:lineRule="auto"/>
        <w:ind w:left="0" w:right="0"/>
        <w:jc w:val="left"/>
      </w:pPr>
      <w:r>
        <w:rPr>
          <w:rFonts w:ascii="Arial" w:hAnsi="Arial" w:eastAsia="Arial" w:cs="Arial"/>
          <w:color w:val="000000"/>
          <w:sz w:val="20"/>
          <w:szCs w:val="20"/>
        </w:rPr>
        <w:t xml:space="preserve">Aus Gründen der prozessualen Vorsicht wird das Klagebegehren auf
alle erdenklichen Rechtsgründe gestützt.</w:t>
      </w:r>
    </w:p>
    <w:p>
      <w:pPr>
        <w:widowControl w:val="on"/>
        <w:pBdr/>
        <w:spacing w:before="200" w:after="200" w:line="300" w:lineRule="auto"/>
        <w:ind w:left="0" w:right="0"/>
        <w:jc w:val="left"/>
        <w:outlineLvl w:val="2"/>
      </w:pPr>
      <w:r>
        <w:rPr>
          <w:rFonts w:ascii="Arial" w:hAnsi="Arial" w:eastAsia="Arial" w:cs="Arial"/>
          <w:b/>
          <w:bCs/>
          <w:color w:val="363A40"/>
          <w:sz w:val="22"/>
          <w:szCs w:val="22"/>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Auf Grundlage der obigen Ausführungen wird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29342170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Es wird die Nichtigkeit des zwischen Konrad Kornbeisser und
Klothilde Kornbeisser abgeschlossenen Schenkungsvertrages vom
23.03.2022 festgestellt.</w:t>
      </w:r>
    </w:p>
    <w:p>
      <w:pPr>
        <w:numPr>
          <w:ilvl w:val="0"/>
          <w:numId w:val="29342170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ist schuldig, der Klägerin die Prozesskosten
zuhanden des Klagsvertreters gem § 19a RAO binnen 14 Tagen bei
sonstiger Exekution zu bezahlen.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Voraussetzung für den Abschluss von Rechtsgeschäften ist die
Geschäftsfähigkeit. Darunter wird die Fähigkeit verstanden, die
Tragweite und die Auswirkungen des Handelns in Bezug auf das
konkrete Rechtsgeschäft abzuschätzen, und danach zu disponieren
(vgl </w:t>
      </w:r>
      <w:r>
        <w:rPr>
          <w:rFonts w:ascii="Arial" w:hAnsi="Arial" w:eastAsia="Arial" w:cs="Arial"/>
          <w:i/>
          <w:iCs/>
          <w:color w:val="000000"/>
          <w:sz w:val="20"/>
          <w:szCs w:val="20"/>
        </w:rPr>
        <w:t xml:space="preserve">Kolmasch</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Schwimann</w:t>
      </w:r>
      <w:r>
        <w:rPr>
          <w:rFonts w:ascii="Arial" w:hAnsi="Arial" w:eastAsia="Arial" w:cs="Arial"/>
          <w:color w:val="000000"/>
          <w:sz w:val="20"/>
          <w:szCs w:val="20"/>
        </w:rPr>
        <w:t xml:space="preserve">,
ABGB-TaKom</w:t>
      </w:r>
      <w:r>
        <w:rPr>
          <w:rFonts w:ascii="Arial" w:hAnsi="Arial" w:eastAsia="Arial" w:cs="Arial"/>
          <w:color w:val="000000"/>
          <w:position w:val="3"/>
          <w:sz w:val="18"/>
          <w:szCs w:val="18"/>
          <w:vertAlign w:val="superscript"/>
        </w:rPr>
        <w:t xml:space="preserve">3</w:t>
      </w:r>
      <w:r>
        <w:rPr>
          <w:rFonts w:ascii="Arial" w:hAnsi="Arial" w:eastAsia="Arial" w:cs="Arial"/>
          <w:color w:val="000000"/>
          <w:sz w:val="20"/>
          <w:szCs w:val="20"/>
        </w:rPr>
        <w:t xml:space="preserve"> § 865 Rz 3) Fehlt diese, ist das
Rechtsgeschäft absolut nichtig (</w:t>
      </w:r>
      <w:r>
        <w:rPr>
          <w:rFonts w:ascii="Arial" w:hAnsi="Arial" w:eastAsia="Arial" w:cs="Arial"/>
          <w:i/>
          <w:iCs/>
          <w:color w:val="000000"/>
          <w:sz w:val="20"/>
          <w:szCs w:val="20"/>
        </w:rPr>
        <w:t xml:space="preserve">Kolmasch</w:t>
      </w:r>
      <w:r>
        <w:rPr>
          <w:rFonts w:ascii="Arial" w:hAnsi="Arial" w:eastAsia="Arial" w:cs="Arial"/>
          <w:color w:val="000000"/>
          <w:sz w:val="20"/>
          <w:szCs w:val="20"/>
        </w:rPr>
        <w:t xml:space="preserve"> aaO, § 865
Rz 5). In der Praxis wird in Fallkonstellationen wie im
Mustersachverhalt die Nichtigkeit oft von einem Sachwalter
aufgegriffen, der in weiterer Folge für den Geschäftsunfähigen
bestellt wird. Aber auch jeder, der ein rechtliches Interesse daran
hat, kann sich auf die Unwirksamkeit eines Rechtsgeschäftes
berufen. Im Musterbeispiel liegt das rechtliche Interesse der
Klägerin darin, dass der Schenkungsvertrag bei Feststellung von
dessen Nichtigkeit in die Erbmasse fällt, während der Klägerin bei
einer wirksamen Schenkung unter Lebenden lediglich der
Ergänzungspflichtteil (Schenkungspflichtteil) zukäme.</w:t>
      </w:r>
    </w:p>
    <w:p>
      <w:pPr>
        <w:widowControl w:val="on"/>
        <w:pBdr/>
        <w:spacing w:before="140" w:after="240" w:line="288" w:lineRule="auto"/>
        <w:ind w:left="0" w:right="0"/>
        <w:jc w:val="left"/>
      </w:pPr>
      <w:r>
        <w:rPr>
          <w:rFonts w:ascii="Arial" w:hAnsi="Arial" w:eastAsia="Arial" w:cs="Arial"/>
          <w:color w:val="000000"/>
          <w:sz w:val="20"/>
          <w:szCs w:val="20"/>
        </w:rPr>
        <w:t xml:space="preserve">Im Gegensatz zur Anfechtung eines Vertrages wegen eines
Willensmangels (List, Irrtum, …) ist das Klagebe-gehren kein
Rechtsgestaltungsbegehren, sondern die Klage ist auf die
Feststellung der Nichtigkeit gerichtet.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342170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3147847">
    <w:multiLevelType w:val="hybridMultilevel"/>
    <w:lvl w:ilvl="0" w:tplc="40171341">
      <w:start w:val="1"/>
      <w:numFmt w:val="decimal"/>
      <w:lvlText w:val="%1."/>
      <w:lvlJc w:val="left"/>
      <w:pPr>
        <w:ind w:left="720" w:hanging="360"/>
      </w:pPr>
    </w:lvl>
    <w:lvl w:ilvl="1" w:tplc="40171341" w:tentative="1">
      <w:start w:val="1"/>
      <w:numFmt w:val="lowerLetter"/>
      <w:lvlText w:val="%2."/>
      <w:lvlJc w:val="left"/>
      <w:pPr>
        <w:ind w:left="1440" w:hanging="360"/>
      </w:pPr>
    </w:lvl>
    <w:lvl w:ilvl="2" w:tplc="40171341" w:tentative="1">
      <w:start w:val="1"/>
      <w:numFmt w:val="lowerRoman"/>
      <w:lvlText w:val="%3."/>
      <w:lvlJc w:val="right"/>
      <w:pPr>
        <w:ind w:left="2160" w:hanging="180"/>
      </w:pPr>
    </w:lvl>
    <w:lvl w:ilvl="3" w:tplc="40171341" w:tentative="1">
      <w:start w:val="1"/>
      <w:numFmt w:val="decimal"/>
      <w:lvlText w:val="%4."/>
      <w:lvlJc w:val="left"/>
      <w:pPr>
        <w:ind w:left="2880" w:hanging="360"/>
      </w:pPr>
    </w:lvl>
    <w:lvl w:ilvl="4" w:tplc="40171341" w:tentative="1">
      <w:start w:val="1"/>
      <w:numFmt w:val="lowerLetter"/>
      <w:lvlText w:val="%5."/>
      <w:lvlJc w:val="left"/>
      <w:pPr>
        <w:ind w:left="3600" w:hanging="360"/>
      </w:pPr>
    </w:lvl>
    <w:lvl w:ilvl="5" w:tplc="40171341" w:tentative="1">
      <w:start w:val="1"/>
      <w:numFmt w:val="lowerRoman"/>
      <w:lvlText w:val="%6."/>
      <w:lvlJc w:val="right"/>
      <w:pPr>
        <w:ind w:left="4320" w:hanging="180"/>
      </w:pPr>
    </w:lvl>
    <w:lvl w:ilvl="6" w:tplc="40171341" w:tentative="1">
      <w:start w:val="1"/>
      <w:numFmt w:val="decimal"/>
      <w:lvlText w:val="%7."/>
      <w:lvlJc w:val="left"/>
      <w:pPr>
        <w:ind w:left="5040" w:hanging="360"/>
      </w:pPr>
    </w:lvl>
    <w:lvl w:ilvl="7" w:tplc="40171341" w:tentative="1">
      <w:start w:val="1"/>
      <w:numFmt w:val="lowerLetter"/>
      <w:lvlText w:val="%8."/>
      <w:lvlJc w:val="left"/>
      <w:pPr>
        <w:ind w:left="5760" w:hanging="360"/>
      </w:pPr>
    </w:lvl>
    <w:lvl w:ilvl="8" w:tplc="40171341" w:tentative="1">
      <w:start w:val="1"/>
      <w:numFmt w:val="lowerRoman"/>
      <w:lvlText w:val="%9."/>
      <w:lvlJc w:val="right"/>
      <w:pPr>
        <w:ind w:left="6480" w:hanging="180"/>
      </w:pPr>
    </w:lvl>
  </w:abstractNum>
  <w:abstractNum w:abstractNumId="89802200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93147846">
    <w:multiLevelType w:val="hybridMultilevel"/>
    <w:lvl w:ilvl="0" w:tplc="95133157">
      <w:start w:val="1"/>
      <w:numFmt w:val="decimal"/>
      <w:lvlText w:val="%1."/>
      <w:lvlJc w:val="left"/>
      <w:pPr>
        <w:ind w:left="720" w:hanging="360"/>
      </w:pPr>
    </w:lvl>
    <w:lvl w:ilvl="1" w:tplc="95133157" w:tentative="1">
      <w:start w:val="1"/>
      <w:numFmt w:val="lowerLetter"/>
      <w:lvlText w:val="%2."/>
      <w:lvlJc w:val="left"/>
      <w:pPr>
        <w:ind w:left="1440" w:hanging="360"/>
      </w:pPr>
    </w:lvl>
    <w:lvl w:ilvl="2" w:tplc="95133157" w:tentative="1">
      <w:start w:val="1"/>
      <w:numFmt w:val="lowerRoman"/>
      <w:lvlText w:val="%3."/>
      <w:lvlJc w:val="right"/>
      <w:pPr>
        <w:ind w:left="2160" w:hanging="180"/>
      </w:pPr>
    </w:lvl>
    <w:lvl w:ilvl="3" w:tplc="95133157" w:tentative="1">
      <w:start w:val="1"/>
      <w:numFmt w:val="decimal"/>
      <w:lvlText w:val="%4."/>
      <w:lvlJc w:val="left"/>
      <w:pPr>
        <w:ind w:left="2880" w:hanging="360"/>
      </w:pPr>
    </w:lvl>
    <w:lvl w:ilvl="4" w:tplc="95133157" w:tentative="1">
      <w:start w:val="1"/>
      <w:numFmt w:val="lowerLetter"/>
      <w:lvlText w:val="%5."/>
      <w:lvlJc w:val="left"/>
      <w:pPr>
        <w:ind w:left="3600" w:hanging="360"/>
      </w:pPr>
    </w:lvl>
    <w:lvl w:ilvl="5" w:tplc="95133157" w:tentative="1">
      <w:start w:val="1"/>
      <w:numFmt w:val="lowerRoman"/>
      <w:lvlText w:val="%6."/>
      <w:lvlJc w:val="right"/>
      <w:pPr>
        <w:ind w:left="4320" w:hanging="180"/>
      </w:pPr>
    </w:lvl>
    <w:lvl w:ilvl="6" w:tplc="95133157" w:tentative="1">
      <w:start w:val="1"/>
      <w:numFmt w:val="decimal"/>
      <w:lvlText w:val="%7."/>
      <w:lvlJc w:val="left"/>
      <w:pPr>
        <w:ind w:left="5040" w:hanging="360"/>
      </w:pPr>
    </w:lvl>
    <w:lvl w:ilvl="7" w:tplc="95133157" w:tentative="1">
      <w:start w:val="1"/>
      <w:numFmt w:val="lowerLetter"/>
      <w:lvlText w:val="%8."/>
      <w:lvlJc w:val="left"/>
      <w:pPr>
        <w:ind w:left="5760" w:hanging="360"/>
      </w:pPr>
    </w:lvl>
    <w:lvl w:ilvl="8" w:tplc="95133157" w:tentative="1">
      <w:start w:val="1"/>
      <w:numFmt w:val="lowerRoman"/>
      <w:lvlText w:val="%9."/>
      <w:lvlJc w:val="right"/>
      <w:pPr>
        <w:ind w:left="6480" w:hanging="180"/>
      </w:pPr>
    </w:lvl>
  </w:abstractNum>
  <w:abstractNum w:abstractNumId="93147845">
    <w:multiLevelType w:val="hybridMultilevel"/>
    <w:lvl w:ilvl="0" w:tplc="8687802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147845">
    <w:abstractNumId w:val="93147845"/>
  </w:num>
  <w:num w:numId="93147846">
    <w:abstractNumId w:val="93147846"/>
  </w:num>
  <w:num w:numId="898022001">
    <w:abstractNumId w:val="898022001"/>
  </w:num>
  <w:num w:numId="93147847">
    <w:abstractNumId w:val="93147847"/>
  </w:num>
  <w:num w:numId="293421703">
    <w:abstractNumId w:val="29342170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35888080" Type="http://schemas.openxmlformats.org/officeDocument/2006/relationships/numbering" Target="numbering.xml"/><Relationship Id="rId76225258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