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35974784" w:name="document"/>
    <w:bookmarkEnd w:id="35974784"/>
    <w:p/>
    <w:p>
      <w:pPr>
        <w:widowControl w:val="on"/>
        <w:pBdr/>
        <w:spacing w:before="0" w:after="280" w:line="240" w:lineRule="auto"/>
        <w:ind w:left="0" w:right="0"/>
        <w:jc w:val="left"/>
      </w:pPr>
      <w:r>
        <w:rPr>
          <w:rFonts w:ascii="Arial" w:hAnsi="Arial" w:eastAsia="Arial" w:cs="Arial"/>
          <w:color w:val="363A40"/>
          <w:sz w:val="24"/>
          <w:szCs w:val="24"/>
        </w:rPr>
        <w:t xml:space="preserve">Dokument-ID: 1183822 | Wolfgang Schöberl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Klage auf Feststellung des Eintritts in ein Mietverhältnis</w:t>
      </w:r>
    </w:p>
    <w:p>
      <w:pPr>
        <w:widowControl w:val="on"/>
        <w:pBdr/>
        <w:spacing w:before="140" w:after="240" w:line="288" w:lineRule="auto"/>
        <w:ind w:left="0" w:right="0"/>
        <w:jc w:val="left"/>
      </w:pPr>
      <w:r>
        <w:rPr>
          <w:rFonts w:ascii="Arial" w:hAnsi="Arial" w:eastAsia="Arial" w:cs="Arial"/>
          <w:b/>
          <w:bCs/>
          <w:color w:val="000000"/>
          <w:sz w:val="20"/>
          <w:szCs w:val="20"/>
        </w:rPr>
        <w:t xml:space="preserve">Vorbemerkungen</w:t>
      </w:r>
      <w:r>
        <w:rPr>
          <w:rFonts w:ascii="Arial" w:hAnsi="Arial" w:eastAsia="Arial" w:cs="Arial"/>
          <w:color w:val="000000"/>
          <w:sz w:val="20"/>
          <w:szCs w:val="20"/>
        </w:rPr>
        <w:br/>
        <w:t xml:space="preserve">Gem § 14 MRG sind beim Tod des Hauptmieters bestimmte
Angehörige, insbesondere dessen Kinder, sowie dessen Ehegatte,
eingetragener Partner und Lebensgefährte berechtigt, in den
Mietvertrag einzutreten, soweit sie ein dringendes Wohnbedürfnis
haben und schon bisher im gemeinsamen Haushalt gelebt haben. Das
Vorliegen der Voraussetzungen für den Eintritt kann strittig sein,
sodass eine Feststellungsklage angebracht sein kann. Wie dabei im
Einzelnen vorzugehen ist, wird im folgenden Muster gezeigt.</w:t>
      </w:r>
    </w:p>
    <w:p>
      <w:r>
        <w:pict>
          <v:rect id="_x0000_i1026" style="width:0;height:1.5pt" o:hralign="center" o:hrstd="t" o:hr="t" o:hrnoshade="t" fillcolor="#a0a0a0" stroked="f"/>
        </w:pict>
      </w:r>
    </w:p>
    <w:p>
      <w:pPr>
        <w:widowControl w:val="on"/>
        <w:pBdr/>
        <w:spacing w:before="140" w:after="240" w:line="288" w:lineRule="auto"/>
        <w:ind w:left="0" w:right="0"/>
        <w:jc w:val="right"/>
      </w:pPr>
      <w:r>
        <w:rPr>
          <w:rFonts w:ascii="Arial" w:hAnsi="Arial" w:eastAsia="Arial" w:cs="Arial"/>
          <w:color w:val="000000"/>
          <w:sz w:val="20"/>
          <w:szCs w:val="20"/>
        </w:rPr>
        <w:t xml:space="preserve">Gebühreneinzug:</w:t>
      </w:r>
      <w:r>
        <w:rPr>
          <w:rFonts w:ascii="Arial" w:hAnsi="Arial" w:eastAsia="Arial" w:cs="Arial"/>
          <w:color w:val="000000"/>
          <w:sz w:val="20"/>
          <w:szCs w:val="20"/>
        </w:rPr>
        <w:br/>
        <w:t xml:space="preserve">Über Konto: …</w:t>
      </w:r>
      <w:r>
        <w:rPr>
          <w:rFonts w:ascii="Arial" w:hAnsi="Arial" w:eastAsia="Arial" w:cs="Arial"/>
          <w:color w:val="000000"/>
          <w:sz w:val="20"/>
          <w:szCs w:val="20"/>
        </w:rPr>
        <w:br/>
        <w:t xml:space="preserve">Bei der … Bank</w:t>
      </w:r>
    </w:p>
    <w:p>
      <w:pPr>
        <w:widowControl w:val="on"/>
        <w:pBdr/>
        <w:spacing w:before="140" w:after="240" w:line="288" w:lineRule="auto"/>
        <w:ind w:left="0" w:right="0"/>
        <w:jc w:val="center"/>
      </w:pPr>
      <w:r>
        <w:rPr>
          <w:rFonts w:ascii="Arial" w:hAnsi="Arial" w:eastAsia="Arial" w:cs="Arial"/>
          <w:color w:val="000000"/>
          <w:sz w:val="20"/>
          <w:szCs w:val="20"/>
        </w:rPr>
        <w:t xml:space="preserve">Rechtsanwalt Dr. Wolfgang
Schöberl</w:t>
      </w:r>
      <w:r>
        <w:rPr>
          <w:rFonts w:ascii="Arial" w:hAnsi="Arial" w:eastAsia="Arial" w:cs="Arial"/>
          <w:color w:val="000000"/>
          <w:sz w:val="20"/>
          <w:szCs w:val="20"/>
        </w:rPr>
        <w:br/>
        <w:t xml:space="preserve">Universitätsstraße 11, 1010 Wien</w:t>
      </w:r>
    </w:p>
    <w:p>
      <w:pPr>
        <w:widowControl w:val="on"/>
        <w:pBdr/>
        <w:spacing w:before="140" w:after="240" w:line="288" w:lineRule="auto"/>
        <w:ind w:left="0" w:right="0"/>
        <w:jc w:val="left"/>
      </w:pPr>
      <w:r>
        <w:rPr>
          <w:rFonts w:ascii="Arial" w:hAnsi="Arial" w:eastAsia="Arial" w:cs="Arial"/>
          <w:color w:val="000000"/>
          <w:sz w:val="20"/>
          <w:szCs w:val="20"/>
        </w:rPr>
        <w:t xml:space="preserve">per WebERV</w:t>
      </w:r>
    </w:p>
    <w:p>
      <w:pPr>
        <w:widowControl w:val="on"/>
        <w:pBdr/>
        <w:spacing w:before="140" w:after="240" w:line="288" w:lineRule="auto"/>
        <w:ind w:left="0" w:right="0"/>
        <w:jc w:val="left"/>
      </w:pPr>
      <w:r>
        <w:rPr>
          <w:rFonts w:ascii="Arial" w:hAnsi="Arial" w:eastAsia="Arial" w:cs="Arial"/>
          <w:color w:val="000000"/>
          <w:sz w:val="20"/>
          <w:szCs w:val="20"/>
        </w:rPr>
        <w:t xml:space="preserve">An das</w:t>
      </w:r>
      <w:r>
        <w:rPr>
          <w:rFonts w:ascii="Arial" w:hAnsi="Arial" w:eastAsia="Arial" w:cs="Arial"/>
          <w:color w:val="000000"/>
          <w:sz w:val="20"/>
          <w:szCs w:val="20"/>
        </w:rPr>
        <w:br/>
        <w:t xml:space="preserve">Bezirksgericht Döbling</w:t>
      </w:r>
      <w:r>
        <w:rPr>
          <w:rFonts w:ascii="Arial" w:hAnsi="Arial" w:eastAsia="Arial" w:cs="Arial"/>
          <w:color w:val="000000"/>
          <w:sz w:val="20"/>
          <w:szCs w:val="20"/>
        </w:rPr>
        <w:br/>
        <w:t xml:space="preserve">Obersteinergasse 20–22</w:t>
      </w:r>
      <w:r>
        <w:rPr>
          <w:rFonts w:ascii="Arial" w:hAnsi="Arial" w:eastAsia="Arial" w:cs="Arial"/>
          <w:color w:val="000000"/>
          <w:sz w:val="20"/>
          <w:szCs w:val="20"/>
        </w:rPr>
        <w:br/>
        <w:t xml:space="preserve">1190 Wien</w:t>
      </w:r>
    </w:p>
    <w:p>
      <w:pPr>
        <w:widowControl w:val="on"/>
        <w:pBdr/>
        <w:spacing w:before="140" w:after="240" w:line="288" w:lineRule="auto"/>
        <w:ind w:left="0" w:right="0"/>
        <w:jc w:val="right"/>
      </w:pPr>
      <w:r>
        <w:rPr>
          <w:rFonts w:ascii="Arial" w:hAnsi="Arial" w:eastAsia="Arial" w:cs="Arial"/>
          <w:color w:val="000000"/>
          <w:sz w:val="20"/>
          <w:szCs w:val="20"/>
        </w:rPr>
        <w:t xml:space="preserve">Wien, am 27.05.2023</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Kläger: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Michael Steiner</w:t>
            </w:r>
            <w:r>
              <w:rPr>
                <w:rFonts w:ascii="Arial" w:hAnsi="Arial" w:eastAsia="Arial" w:cs="Arial"/>
                <w:color w:val="000000"/>
                <w:position w:val="0"/>
                <w:sz w:val="20"/>
                <w:szCs w:val="20"/>
                <w:shd w:val="clear" w:color="auto" w:fill="FFFFFF"/>
              </w:rPr>
              <w:br/>
              <w:t xml:space="preserve">Weinweggasse 25/7</w:t>
            </w:r>
            <w:r>
              <w:rPr>
                <w:rFonts w:ascii="Arial" w:hAnsi="Arial" w:eastAsia="Arial" w:cs="Arial"/>
                <w:color w:val="000000"/>
                <w:position w:val="0"/>
                <w:sz w:val="20"/>
                <w:szCs w:val="20"/>
                <w:shd w:val="clear" w:color="auto" w:fill="FFFFFF"/>
              </w:rPr>
              <w:br/>
              <w:t xml:space="preserve">1190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Dr. Wolfgang Schöberl</w:t>
            </w:r>
            <w:r>
              <w:rPr>
                <w:rFonts w:ascii="Arial" w:hAnsi="Arial" w:eastAsia="Arial" w:cs="Arial"/>
                <w:color w:val="000000"/>
                <w:position w:val="0"/>
                <w:sz w:val="20"/>
                <w:szCs w:val="20"/>
                <w:shd w:val="clear" w:color="auto" w:fill="FFFFFF"/>
              </w:rPr>
              <w:br/>
              <w:t xml:space="preserve">Universitätsstraße 11</w:t>
            </w:r>
            <w:r>
              <w:rPr>
                <w:rFonts w:ascii="Arial" w:hAnsi="Arial" w:eastAsia="Arial" w:cs="Arial"/>
                <w:color w:val="000000"/>
                <w:position w:val="0"/>
                <w:sz w:val="20"/>
                <w:szCs w:val="20"/>
                <w:shd w:val="clear" w:color="auto" w:fill="FFFFFF"/>
              </w:rPr>
              <w:br/>
              <w:t xml:space="preserve">1010 Wien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AVR Code: R…</w:t>
            </w:r>
            <w:r>
              <w:rPr>
                <w:rFonts w:ascii="Arial" w:hAnsi="Arial" w:eastAsia="Arial" w:cs="Arial"/>
                <w:color w:val="000000"/>
                <w:position w:val="0"/>
                <w:sz w:val="20"/>
                <w:szCs w:val="20"/>
                <w:shd w:val="clear" w:color="auto" w:fill="FFFFFF"/>
              </w:rPr>
              <w:br/>
              <w:t xml:space="preserve">unter Berufung auf die erteilte Vollmacht gem § 30 Abs 2
ZPO</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Beklagte: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Gamma 49 Immobilienbesitz GmbH</w:t>
            </w:r>
            <w:r>
              <w:rPr>
                <w:rFonts w:ascii="Arial" w:hAnsi="Arial" w:eastAsia="Arial" w:cs="Arial"/>
                <w:color w:val="000000"/>
                <w:position w:val="0"/>
                <w:sz w:val="20"/>
                <w:szCs w:val="20"/>
                <w:shd w:val="clear" w:color="auto" w:fill="FFFFFF"/>
              </w:rPr>
              <w:br/>
              <w:t xml:space="preserve">Hauptplatz 4</w:t>
            </w:r>
            <w:r>
              <w:rPr>
                <w:rFonts w:ascii="Arial" w:hAnsi="Arial" w:eastAsia="Arial" w:cs="Arial"/>
                <w:color w:val="000000"/>
                <w:position w:val="0"/>
                <w:sz w:val="20"/>
                <w:szCs w:val="20"/>
                <w:shd w:val="clear" w:color="auto" w:fill="FFFFFF"/>
              </w:rPr>
              <w:br/>
              <w:t xml:space="preserve">1010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Feststellung</w:t>
            </w:r>
            <w:r>
              <w:rPr>
                <w:rFonts w:ascii="Arial" w:hAnsi="Arial" w:eastAsia="Arial" w:cs="Arial"/>
                <w:color w:val="000000"/>
                <w:position w:val="0"/>
                <w:sz w:val="20"/>
                <w:szCs w:val="20"/>
                <w:shd w:val="clear" w:color="auto" w:fill="FFFFFF"/>
              </w:rPr>
              <w:br/>
              <w:t xml:space="preserve">Streitwert: EUR 2.000,– gem § 10 Z 2 lit a RATG
und JN/</w:t>
            </w:r>
            <w:r>
              <w:rPr>
                <w:rFonts w:ascii="Arial" w:hAnsi="Arial" w:eastAsia="Arial" w:cs="Arial"/>
                <w:color w:val="000000"/>
                <w:position w:val="0"/>
                <w:sz w:val="20"/>
                <w:szCs w:val="20"/>
                <w:shd w:val="clear" w:color="auto" w:fill="FFFFFF"/>
              </w:rPr>
              <w:br/>
              <w:t xml:space="preserve">EUR 750,– gem GGG</w:t>
            </w:r>
          </w:p>
        </w:tc>
      </w:tr>
    </w:tbl>
    <w:p>
      <w:pPr>
        <w:widowControl w:val="on"/>
        <w:pBdr/>
        <w:spacing w:before="140" w:after="240" w:line="288" w:lineRule="auto"/>
        <w:ind w:left="0" w:right="0"/>
        <w:jc w:val="right"/>
      </w:pPr>
      <w:r>
        <w:rPr>
          <w:rFonts w:ascii="Arial" w:hAnsi="Arial" w:eastAsia="Arial" w:cs="Arial"/>
          <w:color w:val="000000"/>
          <w:sz w:val="20"/>
          <w:szCs w:val="20"/>
        </w:rPr>
        <w:t xml:space="preserve">2-fach</w:t>
      </w:r>
      <w:r>
        <w:rPr>
          <w:rFonts w:ascii="Arial" w:hAnsi="Arial" w:eastAsia="Arial" w:cs="Arial"/>
          <w:color w:val="000000"/>
          <w:sz w:val="20"/>
          <w:szCs w:val="20"/>
        </w:rPr>
        <w:br/>
        <w:t xml:space="preserve">4 Beilagen</w:t>
      </w:r>
    </w:p>
    <w:p>
      <w:pPr>
        <w:widowControl w:val="on"/>
        <w:pBdr/>
        <w:spacing w:before="140" w:after="240" w:line="288" w:lineRule="auto"/>
        <w:ind w:left="0" w:right="0"/>
        <w:jc w:val="left"/>
      </w:pPr>
      <w:r>
        <w:rPr>
          <w:rFonts w:ascii="Arial" w:hAnsi="Arial" w:eastAsia="Arial" w:cs="Arial"/>
          <w:color w:val="000000"/>
          <w:sz w:val="20"/>
          <w:szCs w:val="20"/>
        </w:rPr>
        <w:t xml:space="preserve">In umseits rubrizierter Rechtssache hat der Kläger den
Rechtsanwalt Dr. Wolfgang Schöberl, der sich gem § 30
Abs 2 ZPO auf die erteilte Vollmacht beruft, mit seiner
Vertretung beauftragt. Durch seinen ausgewiesenen Vertreter erhebt
der Kläger die nachstehende</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Klage</w:t>
      </w:r>
    </w:p>
    <w:p>
      <w:pPr>
        <w:widowControl w:val="on"/>
        <w:pBdr/>
        <w:spacing w:before="140" w:after="240" w:line="288" w:lineRule="auto"/>
        <w:ind w:left="0" w:right="0"/>
        <w:jc w:val="left"/>
      </w:pPr>
      <w:r>
        <w:rPr>
          <w:rFonts w:ascii="Arial" w:hAnsi="Arial" w:eastAsia="Arial" w:cs="Arial"/>
          <w:color w:val="000000"/>
          <w:sz w:val="20"/>
          <w:szCs w:val="20"/>
        </w:rPr>
        <w:t xml:space="preserve">wie folgt: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Zuständigkeit</w:t>
      </w:r>
    </w:p>
    <w:p>
      <w:pPr>
        <w:widowControl w:val="on"/>
        <w:pBdr/>
        <w:spacing w:before="140" w:after="240" w:line="288" w:lineRule="auto"/>
        <w:ind w:left="0" w:right="0"/>
        <w:jc w:val="left"/>
      </w:pPr>
      <w:r>
        <w:rPr>
          <w:rFonts w:ascii="Arial" w:hAnsi="Arial" w:eastAsia="Arial" w:cs="Arial"/>
          <w:color w:val="000000"/>
          <w:sz w:val="20"/>
          <w:szCs w:val="20"/>
        </w:rPr>
        <w:t xml:space="preserve">Gegenstand der Klage ist die Feststellung, dass der Kläger in
das Mietverhältnis hinsichtlich der Wohnung Top Nr 7 im Hause
Weinweggasse 25, 1190 Wien, eingetreten ist. Es handelt sich sohin
– auch bei einer Feststellungsklage hinsichtlich eines
Mietverhältnisses – um eine Bestandstreitigkeit, die gem § 49
Abs 2 Z 5 JN in die Eigenzuständigkeit der
Bezirksgerichte fällt. Der Mietgegenstand ist im Sprengel des
angerufenen Gerichtes gelegen, sodass dieses sachlich und örtlich
(§ 83 Abs 1 JN) zuständig ist.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Sachverhalt</w:t>
      </w:r>
    </w:p>
    <w:p>
      <w:pPr>
        <w:widowControl w:val="on"/>
        <w:pBdr/>
        <w:spacing w:before="140" w:after="240" w:line="288" w:lineRule="auto"/>
        <w:ind w:left="0" w:right="0"/>
        <w:jc w:val="left"/>
      </w:pPr>
      <w:r>
        <w:rPr>
          <w:rFonts w:ascii="Arial" w:hAnsi="Arial" w:eastAsia="Arial" w:cs="Arial"/>
          <w:color w:val="000000"/>
          <w:sz w:val="20"/>
          <w:szCs w:val="20"/>
        </w:rPr>
        <w:t xml:space="preserve">Der Vater des Klägers, Herr Siegfried Steiner, hatte die Wohnung
Top Nr 7 im Hause Weinweggasse 25, 1190 Wien, bereits mit
Mietvertrag vom 01.07.1969 als Hauptmieter angemietet. Beim Haus
Weinweggasse 25 handelt es sich um ein im Jahr 1910 errichtetes
Zinshaus. Das Mietverhältnis unterliegt daher dem
Vollanwendungsbereich des MRG. Die Wohnung ist 140 m² groß und
liegt im zweiten Stock des Hauses. Im Lauf der Jahrzehnte hat der
Vater des Klägers auf eigene Kosten umfangreiche Sanierungs- und
Verbesserungsmaßnahmen vorgenommen.</w:t>
      </w:r>
    </w:p>
    <w:p>
      <w:pPr>
        <w:widowControl w:val="on"/>
        <w:pBdr/>
        <w:spacing w:before="140" w:after="240" w:line="288" w:lineRule="auto"/>
        <w:ind w:left="0" w:right="0"/>
        <w:jc w:val="left"/>
      </w:pPr>
      <w:r>
        <w:rPr>
          <w:rFonts w:ascii="Arial" w:hAnsi="Arial" w:eastAsia="Arial" w:cs="Arial"/>
          <w:color w:val="000000"/>
          <w:sz w:val="20"/>
          <w:szCs w:val="20"/>
        </w:rPr>
        <w:t xml:space="preserve">Der im Jahr 1975 geborene Kläger lebt seit seiner Geburt in
dieser Wohnung, und zwar im gemeinsamen Haushalt mit seinem Vater.
Dieser verstarb am 24.10.2022.</w:t>
      </w:r>
    </w:p>
    <w:p>
      <w:pPr>
        <w:widowControl w:val="on"/>
        <w:pBdr/>
        <w:spacing w:before="140" w:after="240" w:line="288" w:lineRule="auto"/>
        <w:ind w:left="0" w:right="0"/>
        <w:jc w:val="left"/>
      </w:pPr>
      <w:r>
        <w:rPr>
          <w:rFonts w:ascii="Arial" w:hAnsi="Arial" w:eastAsia="Arial" w:cs="Arial"/>
          <w:color w:val="000000"/>
          <w:sz w:val="20"/>
          <w:szCs w:val="20"/>
        </w:rPr>
        <w:t xml:space="preserve">Der Kläger teilte der Beklagten zwei Wochen nach dem Tod seines
Vaters mit, dass er das Mietverhältnis fortsetzen wolle, und
bezahlt seitdem auch weiterhin Mietzins und Betriebskosten.</w:t>
      </w:r>
    </w:p>
    <w:p>
      <w:pPr>
        <w:widowControl w:val="on"/>
        <w:pBdr/>
        <w:spacing w:before="140" w:after="240" w:line="288" w:lineRule="auto"/>
        <w:ind w:left="0" w:right="0"/>
        <w:jc w:val="left"/>
      </w:pPr>
      <w:r>
        <w:rPr>
          <w:rFonts w:ascii="Arial" w:hAnsi="Arial" w:eastAsia="Arial" w:cs="Arial"/>
          <w:color w:val="000000"/>
          <w:sz w:val="20"/>
          <w:szCs w:val="20"/>
        </w:rPr>
        <w:t xml:space="preserve">Zunächst hörte der Kläger nichts von der Beklagten. Erst Monate
später teilte ihm diese – mit Schreiben vom 04.03.2023 – mit, dass
sie „Recherchen angestellt hätte“, welche ergeben hätten, dass der
Kläger de facto bei seiner Lebensgefährtin im 17. Bezirk wohne,
sodass er an der gegenständlichen Wohnung weder ein dringendes
Wohnbedürfnis hätte, noch ein gemeinsamer Haushalt mit seinem Vater
vorgelegen wäre. Daher stellte die Beklagte eine gerichtliche
Aufkündigung in den Raum, bot jedoch „entgegenkommenderweise“ an,
mit dem Kläger einen neuen Mietvertrag zu einem „marktkonformen
Mietzins“ abzuschließen.</w:t>
      </w:r>
    </w:p>
    <w:p>
      <w:pPr>
        <w:widowControl w:val="on"/>
        <w:pBdr/>
        <w:spacing w:before="140" w:after="240" w:line="288" w:lineRule="auto"/>
        <w:ind w:left="0" w:right="0"/>
        <w:jc w:val="left"/>
      </w:pPr>
      <w:r>
        <w:rPr>
          <w:rFonts w:ascii="Arial" w:hAnsi="Arial" w:eastAsia="Arial" w:cs="Arial"/>
          <w:color w:val="000000"/>
          <w:sz w:val="20"/>
          <w:szCs w:val="20"/>
        </w:rPr>
        <w:t xml:space="preserve">Der Kläger antwortete darauf – bereits vertreten durch den
Klagsvertreter – mit Schreiben vom 02.04.2023, dass er bei seiner
Partnerin lediglich fallweise übernachtet, und immer ein
gemeinsamer Haushalt mit dem Vater bestand, zumal die Mutter schon
sehr früh verstarb, und der Vater in den letzten Jahren auch auf
Unterstützung und sogar Pflege durch den Kläger angewiesen war.
Weiters führte der Kläger aus, dass seine Partnerin lediglich über
eine Ein-Zimmer-Wohnung verfügt, und es ihm daher nicht zumutbar
wäre, dort ständig zu wohnen.</w:t>
      </w:r>
    </w:p>
    <w:p>
      <w:pPr>
        <w:widowControl w:val="on"/>
        <w:pBdr/>
        <w:spacing w:before="140" w:after="240" w:line="288" w:lineRule="auto"/>
        <w:ind w:left="0" w:right="0"/>
        <w:jc w:val="left"/>
      </w:pPr>
      <w:r>
        <w:rPr>
          <w:rFonts w:ascii="Arial" w:hAnsi="Arial" w:eastAsia="Arial" w:cs="Arial"/>
          <w:color w:val="000000"/>
          <w:sz w:val="20"/>
          <w:szCs w:val="20"/>
        </w:rPr>
        <w:t xml:space="preserve">Auf dieses Schreiben gab es keine Rückantwort vonseiten der
Beklagten mehr, sodass diese den Eintritt des Klägers in das
Mietverhältnis auch nach wie vor nicht zustimmend zur Kenntnis
nimmt.</w:t>
      </w:r>
    </w:p>
    <w:p>
      <w:pPr>
        <w:widowControl w:val="on"/>
        <w:pBdr/>
        <w:spacing w:before="140" w:after="240" w:line="288" w:lineRule="auto"/>
        <w:ind w:left="0" w:right="0"/>
        <w:jc w:val="left"/>
      </w:pPr>
      <w:r>
        <w:rPr>
          <w:rFonts w:ascii="Arial" w:hAnsi="Arial" w:eastAsia="Arial" w:cs="Arial"/>
          <w:color w:val="000000"/>
          <w:sz w:val="20"/>
          <w:szCs w:val="20"/>
        </w:rPr>
        <w:t xml:space="preserve">Dem Kläger wurde in der Zwischenzeit die Verlassenschaft nach
seinem Vater als Alleinerbe eingeantwortet. Dies erfolgte mit
Einantwortungsbeschluss des BG Döbling vom 23.3.2023 zur GZ: 4 A
27/17 p.</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 des Klägers;</w:t>
            </w:r>
            <w:r>
              <w:rPr>
                <w:rFonts w:ascii="Arial" w:hAnsi="Arial" w:eastAsia="Arial" w:cs="Arial"/>
                <w:color w:val="000000"/>
                <w:position w:val="0"/>
                <w:sz w:val="20"/>
                <w:szCs w:val="20"/>
                <w:shd w:val="clear" w:color="auto" w:fill="FFFFFF"/>
              </w:rPr>
              <w:br/>
              <w:t xml:space="preserve">hiemit vorgelegte Urkunden:</w:t>
            </w:r>
            <w:r>
              <w:rPr>
                <w:rFonts w:ascii="Arial" w:hAnsi="Arial" w:eastAsia="Arial" w:cs="Arial"/>
                <w:color w:val="000000"/>
                <w:position w:val="0"/>
                <w:sz w:val="20"/>
                <w:szCs w:val="20"/>
                <w:shd w:val="clear" w:color="auto" w:fill="FFFFFF"/>
              </w:rPr>
              <w:br/>
              <w:t xml:space="preserve">Mietvertrag vom 01.07.1969, Schreiben des Klägers vom 07.11.2022,
Schreiben der Beklagten vom 04.03.2023, Schreiben des
Klagsvertreters vom 02.04.2023, Einantwortungsbeschluss vom
23.03.2023;</w:t>
            </w:r>
            <w:r>
              <w:rPr>
                <w:rFonts w:ascii="Arial" w:hAnsi="Arial" w:eastAsia="Arial" w:cs="Arial"/>
                <w:color w:val="000000"/>
                <w:position w:val="0"/>
                <w:sz w:val="20"/>
                <w:szCs w:val="20"/>
                <w:shd w:val="clear" w:color="auto" w:fill="FFFFFF"/>
              </w:rPr>
              <w:br/>
              <w:t xml:space="preserve">Zeugen Carlotta Keiner (Partnerin des Klägers), Kalvarienstraße
54/12, 1170 Wien; Ludmilla Meier, Weinweggasse 25/6, 1190 Wien;
Bertha Müller, Weinweggasse 26/8, 1190 Wien (Nachbarinnen des
Klägers);</w:t>
            </w:r>
            <w:r>
              <w:rPr>
                <w:rFonts w:ascii="Arial" w:hAnsi="Arial" w:eastAsia="Arial" w:cs="Arial"/>
                <w:color w:val="000000"/>
                <w:position w:val="0"/>
                <w:sz w:val="20"/>
                <w:szCs w:val="20"/>
                <w:shd w:val="clear" w:color="auto" w:fill="FFFFFF"/>
              </w:rPr>
              <w:br/>
              <w:t xml:space="preserve">weitere Beweise vorbehalten</w:t>
            </w:r>
          </w:p>
        </w:tc>
      </w:tr>
    </w:tbl>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Rechtliche Würdigung</w:t>
      </w:r>
    </w:p>
    <w:p>
      <w:pPr>
        <w:widowControl w:val="on"/>
        <w:pBdr/>
        <w:spacing w:before="140" w:after="240" w:line="288" w:lineRule="auto"/>
        <w:ind w:left="0" w:right="0"/>
        <w:jc w:val="left"/>
      </w:pPr>
      <w:r>
        <w:rPr>
          <w:rFonts w:ascii="Arial" w:hAnsi="Arial" w:eastAsia="Arial" w:cs="Arial"/>
          <w:color w:val="000000"/>
          <w:sz w:val="20"/>
          <w:szCs w:val="20"/>
        </w:rPr>
        <w:t xml:space="preserve">Gem § 14 MRG wird der Mietvertrag durch den Tod des Mieters
nicht aufgehoben. Vielmehr treten nach dem Tod des Hauptmieters die
in § 14 Abs 3 MRG genannten eintrittsberechtigten
Personen in den Mietvertrag ein. Dazu gehören insbesondere die
Kinder des Hauptmieters, sofern sie ein dringendes Wohnbedürfnis
haben und schon bisher im gemeinsamen Haushalt mit dem Mieter der
Wohnung gelebt haben.</w:t>
      </w:r>
    </w:p>
    <w:p>
      <w:pPr>
        <w:widowControl w:val="on"/>
        <w:pBdr/>
        <w:spacing w:before="140" w:after="240" w:line="288" w:lineRule="auto"/>
        <w:ind w:left="0" w:right="0"/>
        <w:jc w:val="left"/>
      </w:pPr>
      <w:r>
        <w:rPr>
          <w:rFonts w:ascii="Arial" w:hAnsi="Arial" w:eastAsia="Arial" w:cs="Arial"/>
          <w:color w:val="000000"/>
          <w:sz w:val="20"/>
          <w:szCs w:val="20"/>
        </w:rPr>
        <w:t xml:space="preserve">Wie vorgebracht und unter Beweis gestellt, liegen diese
Voraussetzungen in concreto vor.</w:t>
      </w:r>
    </w:p>
    <w:p>
      <w:pPr>
        <w:widowControl w:val="on"/>
        <w:pBdr/>
        <w:spacing w:before="140" w:after="240" w:line="288" w:lineRule="auto"/>
        <w:ind w:left="0" w:right="0"/>
        <w:jc w:val="left"/>
      </w:pPr>
      <w:r>
        <w:rPr>
          <w:rFonts w:ascii="Arial" w:hAnsi="Arial" w:eastAsia="Arial" w:cs="Arial"/>
          <w:color w:val="000000"/>
          <w:sz w:val="20"/>
          <w:szCs w:val="20"/>
        </w:rPr>
        <w:t xml:space="preserve">Das dringende Wohnbedürfnis wird nämlich im Sinn eines
schutzwürdigen Interesses verstanden und nur dann verneint, wenn
dem Eintrittsberechtigten eine andere ausreichende, angemessene und
rechtlich gleichwertige Unterkunft zur Verfügung steht (RS0069974,
RS0068334; vgl auch RS0069957, RS0069802).</w:t>
      </w:r>
    </w:p>
    <w:p>
      <w:pPr>
        <w:widowControl w:val="on"/>
        <w:pBdr/>
        <w:spacing w:before="140" w:after="240" w:line="288" w:lineRule="auto"/>
        <w:ind w:left="0" w:right="0"/>
        <w:jc w:val="left"/>
      </w:pPr>
      <w:r>
        <w:rPr>
          <w:rFonts w:ascii="Arial" w:hAnsi="Arial" w:eastAsia="Arial" w:cs="Arial"/>
          <w:color w:val="000000"/>
          <w:sz w:val="20"/>
          <w:szCs w:val="20"/>
        </w:rPr>
        <w:t xml:space="preserve">Dies ist bei einer Wohnung der Partnerin, in der bloß
gelegentlich übernachtet wird, nicht der Fall: Da der Kläger diese
Wohnung, wenn überhaupt, nur prekaristisch nutzen kann, liegt keine
rechtlich gleichwertige Unterkunft (kein Hauptmietverhältnis) vor.
Überdies verfügt die Wohnung der Partnerin hier nur über ein Zimmer
und ist daher für zwei Personen weder als ausreichend noch als
angemessen zu betrachten.</w:t>
      </w:r>
    </w:p>
    <w:p>
      <w:pPr>
        <w:widowControl w:val="on"/>
        <w:pBdr/>
        <w:spacing w:before="140" w:after="240" w:line="288" w:lineRule="auto"/>
        <w:ind w:left="0" w:right="0"/>
        <w:jc w:val="left"/>
      </w:pPr>
      <w:r>
        <w:rPr>
          <w:rFonts w:ascii="Arial" w:hAnsi="Arial" w:eastAsia="Arial" w:cs="Arial"/>
          <w:color w:val="000000"/>
          <w:sz w:val="20"/>
          <w:szCs w:val="20"/>
        </w:rPr>
        <w:t xml:space="preserve">In eventu wird der Eintritt in das Mietverhältnis aus äußerster
prozessualer Vorsicht auch auf den Umstand gestützt, dass der
Kläger Alleinerbe nach seinem Vater, dem bisherigen Mieter, ist:
Denn das Bestandrecht ist ein vererbliches Vermögensrecht.
Abgesehen von der Sonderrechtsnachfolge nach § 14 Abs 2
MRG wird das Mietverhältnis zunächst mit der Verlassenschaft, nach
der Einantwortung mit dem Erben fortgesetzt (RIS-Justiz RS0021167
[T4] und [T5]; RS0021182). Der Eintritt des Erben in den
Bestandvertrag vollzieht sich ex lege und bedarf keiner Erklärung
(5 Ob 8/99h). Selbst wenn der Kläger nicht gem § 14 MRG
eintrittsberechtigt sein sollte, so wäre er also als Alleinerbe des
bisherigen Mieters in das Mietverhältnis eingetreten.</w:t>
      </w:r>
    </w:p>
    <w:p>
      <w:pPr>
        <w:widowControl w:val="on"/>
        <w:pBdr/>
        <w:spacing w:before="140" w:after="240" w:line="288" w:lineRule="auto"/>
        <w:ind w:left="0" w:right="0"/>
        <w:jc w:val="left"/>
      </w:pPr>
      <w:r>
        <w:rPr>
          <w:rFonts w:ascii="Arial" w:hAnsi="Arial" w:eastAsia="Arial" w:cs="Arial"/>
          <w:color w:val="000000"/>
          <w:sz w:val="20"/>
          <w:szCs w:val="20"/>
        </w:rPr>
        <w:t xml:space="preserve">Ein rechtliches Interesse des Klägers iSd § 228 ZPO an der
gerichtlichen Feststellung, dass er in das Mietverhältnis
eingetreten ist, liegt vor: Es ist dem Kläger keinesfalls
zuzumuten, eine allfällige Aufkündigung durch die Beklagte
abzuwarten, und seinen Eintritt erst im Kündigungsverfahren geltend
zu machen (abzuleiten ua aus 2 Ob 607/92). Zu bemerken ist auch,
dass die Beklagte bei einer Neuvermietung der mehr als 130 m²
großen Wohnung tatsächlich berechtigt wäre, den angemessenen
Hauptmietzins zu verlangen (§ 16 Abs 1 Z 4 MRG),
sodass das wirtschaftliche Risiko des Klägers für den Fall einer
gerichtlichen Aufkündigung enorm wäre.</w:t>
      </w:r>
    </w:p>
    <w:p>
      <w:pPr>
        <w:widowControl w:val="on"/>
        <w:pBdr/>
        <w:spacing w:before="140" w:after="240" w:line="288" w:lineRule="auto"/>
        <w:ind w:left="0" w:right="0"/>
        <w:jc w:val="left"/>
      </w:pPr>
      <w:r>
        <w:rPr>
          <w:rFonts w:ascii="Arial" w:hAnsi="Arial" w:eastAsia="Arial" w:cs="Arial"/>
          <w:color w:val="000000"/>
          <w:sz w:val="20"/>
          <w:szCs w:val="20"/>
        </w:rPr>
        <w:t xml:space="preserve">Die Bewertung des Klagebegehrens gem RATG erfolgt nach § 10
Z 2 lit a RATG, da die Wohnung größer als 90 m² ist. Die
Bewertung gem GGG mit EUR 750,– erfolgt gem § 16
Abs 1 Z 1 GGG, da es sich um eine Bestandstreitigkeit
handelt, in welcher kein Geldbetrag Gegenstand der Klage ist.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Klagebegehren</w:t>
      </w:r>
    </w:p>
    <w:p>
      <w:pPr>
        <w:widowControl w:val="on"/>
        <w:pBdr/>
        <w:spacing w:before="140" w:after="240" w:line="288" w:lineRule="auto"/>
        <w:ind w:left="0" w:right="0"/>
        <w:jc w:val="left"/>
      </w:pPr>
      <w:r>
        <w:rPr>
          <w:rFonts w:ascii="Arial" w:hAnsi="Arial" w:eastAsia="Arial" w:cs="Arial"/>
          <w:color w:val="000000"/>
          <w:sz w:val="20"/>
          <w:szCs w:val="20"/>
        </w:rPr>
        <w:t xml:space="preserve">Auf Grundlage der obigen Ausführungen wird beantragt zu erlassen
das nachstehende</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Urteil:</w:t>
      </w:r>
    </w:p>
    <w:p>
      <w:pPr>
        <w:numPr>
          <w:ilvl w:val="0"/>
          <w:numId w:val="8149408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Es wird mit Wirkung zwischen den Streitteilen festgestellt,
dass der Kläger in die Mietrechte des verstorbenen Herrn Siegfried
Steiner an der Wohnung Weinweggasse 25/7, 1190 Wien, eingetreten
ist.</w:t>
      </w:r>
    </w:p>
    <w:p>
      <w:pPr>
        <w:numPr>
          <w:ilvl w:val="0"/>
          <w:numId w:val="8149408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Beklagte ist schuldig, die Kosten dieses Rechtsstreits
binnen 14 Tagen bei sonstiger Exekution zu Handen des
Klagsvertreters unter Anwendung des § 19 a RAO zu
bezahlen.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b/>
          <w:bCs/>
          <w:color w:val="000000"/>
          <w:sz w:val="20"/>
          <w:szCs w:val="20"/>
        </w:rPr>
        <w:t xml:space="preserve">1</w:t>
      </w:r>
      <w:r>
        <w:rPr>
          <w:rFonts w:ascii="Arial" w:hAnsi="Arial" w:eastAsia="Arial" w:cs="Arial"/>
          <w:color w:val="000000"/>
          <w:sz w:val="20"/>
          <w:szCs w:val="20"/>
        </w:rPr>
        <w:br/>
        <w:t xml:space="preserve">Gem § 14 MRG sind nach dem Tod des Hauptmieters bestimmte
Personen berechtigt, in den Mietvertrag einzutreten. Dabei handelt
es sich insbesondere um dessen Ehegatten, eingetragenen Partner
oder Lebensgefährten sowie um nahe Verwandte, insbesondere Kinder.
Voraussetzung für den Eintritt ist weiters, dass die betreffende
Person ein dringendes Wohnbedürfnis hat, und schon bisher im
gemeinsamen Haushalt mit dem Hauptmieter gelebt hat. Das
Mietverhältnis geht unverändert auf den Eintrittsberechtigten über;
insbesondere ist der Vermieter (abgesehen von einigen
Ausnahmefällen) nicht zu einer Anhebung des Mietzinses berechtigt.
§ 14 MRG gilt sowohl im Vollanwendungsbereich wie auch im
Teilanwendungsbereich des MRG.</w:t>
      </w:r>
    </w:p>
    <w:p>
      <w:pPr>
        <w:widowControl w:val="on"/>
        <w:pBdr/>
        <w:spacing w:before="140" w:after="240" w:line="288" w:lineRule="auto"/>
        <w:ind w:left="0" w:right="0"/>
        <w:jc w:val="left"/>
      </w:pPr>
      <w:r>
        <w:rPr>
          <w:rFonts w:ascii="Arial" w:hAnsi="Arial" w:eastAsia="Arial" w:cs="Arial"/>
          <w:b/>
          <w:bCs/>
          <w:color w:val="000000"/>
          <w:sz w:val="20"/>
          <w:szCs w:val="20"/>
        </w:rPr>
        <w:t xml:space="preserve">2</w:t>
      </w:r>
      <w:r>
        <w:rPr>
          <w:rFonts w:ascii="Arial" w:hAnsi="Arial" w:eastAsia="Arial" w:cs="Arial"/>
          <w:color w:val="000000"/>
          <w:sz w:val="20"/>
          <w:szCs w:val="20"/>
        </w:rPr>
        <w:br/>
        <w:t xml:space="preserve">Das Schicksal des Mietverhältnisses nach dem Tod des Mieters ist
aber auch im allgemeinen Zivilrecht geregelt: Es wird durch den Tod
des Mieters (wie auch des Vermieters) nicht aufgehoben, sondern
zunächst mit der Verlassenschaft und nach der Einantwortung mit dem
Erben fortgesetzt (§ 1116a ABGB). Wie § 1116a ABGB weiter
anordnet, können Wohnungsmieten beim Tod des Mieters ohne Rücksicht
auf die vereinbarte Dauer sowohl von den Erben des Mieters wie auch
vom Vermieter unter Einhaltung der gesetzlichen Kündigungsfrist
aufgelöst werden. Dies wird freilich bei Mietverhältnissen, die dem
MRG unterliegen, dadurch eingeschränkt, dass (zusätzlich) ein im
MRG normierter Kündigungsgrund vorliegen muss.</w:t>
      </w:r>
    </w:p>
    <w:p>
      <w:pPr>
        <w:widowControl w:val="on"/>
        <w:pBdr/>
        <w:spacing w:before="140" w:after="240" w:line="288" w:lineRule="auto"/>
        <w:ind w:left="0" w:right="0"/>
        <w:jc w:val="left"/>
      </w:pPr>
      <w:r>
        <w:rPr>
          <w:rFonts w:ascii="Arial" w:hAnsi="Arial" w:eastAsia="Arial" w:cs="Arial"/>
          <w:b/>
          <w:bCs/>
          <w:color w:val="000000"/>
          <w:sz w:val="20"/>
          <w:szCs w:val="20"/>
        </w:rPr>
        <w:t xml:space="preserve">3</w:t>
      </w:r>
      <w:r>
        <w:rPr>
          <w:rFonts w:ascii="Arial" w:hAnsi="Arial" w:eastAsia="Arial" w:cs="Arial"/>
          <w:color w:val="000000"/>
          <w:sz w:val="20"/>
          <w:szCs w:val="20"/>
        </w:rPr>
        <w:br/>
        <w:t xml:space="preserve">§ 14 MRG geht den soeben dargestellten allgemeinen
zivilrechtlichen Bestimmungen vor. Mit anderen Worten fallen
Mietrechte, soweit eintrittsberechtigte Personen vorhanden sind und
diese das Eintrittsrecht ausüben, auch nicht in die
Verlassenschaft. Es kann aber durchaus die besondere Konstellation
bestehen, dass der gem § 14 MRG Eintrittsberechtigte auch der
Alleinerbe des Mieters ist, wie dies im Musterbeispiel der Fall
ist.</w:t>
      </w:r>
    </w:p>
    <w:p>
      <w:pPr>
        <w:widowControl w:val="on"/>
        <w:pBdr/>
        <w:spacing w:before="140" w:after="240" w:line="288" w:lineRule="auto"/>
        <w:ind w:left="0" w:right="0"/>
        <w:jc w:val="left"/>
      </w:pPr>
      <w:r>
        <w:rPr>
          <w:rFonts w:ascii="Arial" w:hAnsi="Arial" w:eastAsia="Arial" w:cs="Arial"/>
          <w:b/>
          <w:bCs/>
          <w:color w:val="000000"/>
          <w:sz w:val="20"/>
          <w:szCs w:val="20"/>
        </w:rPr>
        <w:t xml:space="preserve">4</w:t>
      </w:r>
      <w:r>
        <w:rPr>
          <w:rFonts w:ascii="Arial" w:hAnsi="Arial" w:eastAsia="Arial" w:cs="Arial"/>
          <w:color w:val="000000"/>
          <w:sz w:val="20"/>
          <w:szCs w:val="20"/>
        </w:rPr>
        <w:br/>
        <w:t xml:space="preserve">Auch bei einer mietrechtlichen Feststellungsklage handelt es sich
um eine Bestandsstreitigkeit, sodass sowohl die Bestimmungen der JN
zur örtlichen und sachlichen Zuständigkeit (§§ 49 Abs 2
Z 5 iVm 83 Abs 1 JN – zuständig ist jenes Bezirksgericht,
in dessen Sprengel sich der Bestandgegenstand befindet) als auch
die Bestimmungen des RATG und des GGG zur Bewertung anzuwenden
sind. Nach der JN kann der Streitgegenstand hingegen frei bewertet
werden. Die Bewertung nach der JN ist jedoch hier kaum von
praktischer Bedeutung, weil bei Streitigkeiten um das Bestehen oder
Nichtbestehen eines Bestandverhältnisses, worunter auch die
gegenständliche Feststellungsklage zu subsumieren ist, sowohl die
volle Berufung als auch die Revision an den OGH (bei Vorliegen
einer Rechtsfrage von erheblicher Bedeutung) ungeachtet des
Streitwerts zulässig ist.</w:t>
      </w:r>
    </w:p>
    <w:p>
      <w:pPr>
        <w:widowControl w:val="on"/>
        <w:pBdr/>
        <w:spacing w:before="140" w:after="240" w:line="288" w:lineRule="auto"/>
        <w:ind w:left="0" w:right="0"/>
        <w:jc w:val="left"/>
      </w:pPr>
      <w:r>
        <w:rPr>
          <w:rFonts w:ascii="Arial" w:hAnsi="Arial" w:eastAsia="Arial" w:cs="Arial"/>
          <w:b/>
          <w:bCs/>
          <w:color w:val="000000"/>
          <w:sz w:val="20"/>
          <w:szCs w:val="20"/>
        </w:rPr>
        <w:t xml:space="preserve">5</w:t>
      </w:r>
      <w:r>
        <w:rPr>
          <w:rFonts w:ascii="Arial" w:hAnsi="Arial" w:eastAsia="Arial" w:cs="Arial"/>
          <w:color w:val="000000"/>
          <w:sz w:val="20"/>
          <w:szCs w:val="20"/>
        </w:rPr>
        <w:br/>
        <w:t xml:space="preserve">Eine derartige Feststellungsklage könnte – spiegelbildlich – auch
vom Vermieter eingebracht werden, der ein rechtliches Interesse an
der Feststellung hat, dass die Voraussetzungen für den Eintritt in
das Bestandverhältnis gem § 14 MRG bei einem Angehörigen des
verstorbenen Mieters, der dies behauptet, nicht vorliegen. Ebenso
ist eine Feststellungsklage denkbar, wenn die Voraussetzungen für
die Abtretung des Mietrechtes an nahe Angehörige unter Lebenden
(§ 12 MRG) strittig sind.</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1494087">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60006037">
    <w:multiLevelType w:val="hybridMultilevel"/>
    <w:lvl w:ilvl="0" w:tplc="37218311">
      <w:start w:val="1"/>
      <w:numFmt w:val="decimal"/>
      <w:lvlText w:val="%1."/>
      <w:lvlJc w:val="left"/>
      <w:pPr>
        <w:ind w:left="720" w:hanging="360"/>
      </w:pPr>
    </w:lvl>
    <w:lvl w:ilvl="1" w:tplc="37218311" w:tentative="1">
      <w:start w:val="1"/>
      <w:numFmt w:val="lowerLetter"/>
      <w:lvlText w:val="%2."/>
      <w:lvlJc w:val="left"/>
      <w:pPr>
        <w:ind w:left="1440" w:hanging="360"/>
      </w:pPr>
    </w:lvl>
    <w:lvl w:ilvl="2" w:tplc="37218311" w:tentative="1">
      <w:start w:val="1"/>
      <w:numFmt w:val="lowerRoman"/>
      <w:lvlText w:val="%3."/>
      <w:lvlJc w:val="right"/>
      <w:pPr>
        <w:ind w:left="2160" w:hanging="180"/>
      </w:pPr>
    </w:lvl>
    <w:lvl w:ilvl="3" w:tplc="37218311" w:tentative="1">
      <w:start w:val="1"/>
      <w:numFmt w:val="decimal"/>
      <w:lvlText w:val="%4."/>
      <w:lvlJc w:val="left"/>
      <w:pPr>
        <w:ind w:left="2880" w:hanging="360"/>
      </w:pPr>
    </w:lvl>
    <w:lvl w:ilvl="4" w:tplc="37218311" w:tentative="1">
      <w:start w:val="1"/>
      <w:numFmt w:val="lowerLetter"/>
      <w:lvlText w:val="%5."/>
      <w:lvlJc w:val="left"/>
      <w:pPr>
        <w:ind w:left="3600" w:hanging="360"/>
      </w:pPr>
    </w:lvl>
    <w:lvl w:ilvl="5" w:tplc="37218311" w:tentative="1">
      <w:start w:val="1"/>
      <w:numFmt w:val="lowerRoman"/>
      <w:lvlText w:val="%6."/>
      <w:lvlJc w:val="right"/>
      <w:pPr>
        <w:ind w:left="4320" w:hanging="180"/>
      </w:pPr>
    </w:lvl>
    <w:lvl w:ilvl="6" w:tplc="37218311" w:tentative="1">
      <w:start w:val="1"/>
      <w:numFmt w:val="decimal"/>
      <w:lvlText w:val="%7."/>
      <w:lvlJc w:val="left"/>
      <w:pPr>
        <w:ind w:left="5040" w:hanging="360"/>
      </w:pPr>
    </w:lvl>
    <w:lvl w:ilvl="7" w:tplc="37218311" w:tentative="1">
      <w:start w:val="1"/>
      <w:numFmt w:val="lowerLetter"/>
      <w:lvlText w:val="%8."/>
      <w:lvlJc w:val="left"/>
      <w:pPr>
        <w:ind w:left="5760" w:hanging="360"/>
      </w:pPr>
    </w:lvl>
    <w:lvl w:ilvl="8" w:tplc="37218311" w:tentative="1">
      <w:start w:val="1"/>
      <w:numFmt w:val="lowerRoman"/>
      <w:lvlText w:val="%9."/>
      <w:lvlJc w:val="right"/>
      <w:pPr>
        <w:ind w:left="6480" w:hanging="180"/>
      </w:pPr>
    </w:lvl>
  </w:abstractNum>
  <w:abstractNum w:abstractNumId="715203914">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60006036">
    <w:multiLevelType w:val="hybridMultilevel"/>
    <w:lvl w:ilvl="0" w:tplc="32738927">
      <w:start w:val="1"/>
      <w:numFmt w:val="decimal"/>
      <w:lvlText w:val="%1."/>
      <w:lvlJc w:val="left"/>
      <w:pPr>
        <w:ind w:left="720" w:hanging="360"/>
      </w:pPr>
    </w:lvl>
    <w:lvl w:ilvl="1" w:tplc="32738927" w:tentative="1">
      <w:start w:val="1"/>
      <w:numFmt w:val="lowerLetter"/>
      <w:lvlText w:val="%2."/>
      <w:lvlJc w:val="left"/>
      <w:pPr>
        <w:ind w:left="1440" w:hanging="360"/>
      </w:pPr>
    </w:lvl>
    <w:lvl w:ilvl="2" w:tplc="32738927" w:tentative="1">
      <w:start w:val="1"/>
      <w:numFmt w:val="lowerRoman"/>
      <w:lvlText w:val="%3."/>
      <w:lvlJc w:val="right"/>
      <w:pPr>
        <w:ind w:left="2160" w:hanging="180"/>
      </w:pPr>
    </w:lvl>
    <w:lvl w:ilvl="3" w:tplc="32738927" w:tentative="1">
      <w:start w:val="1"/>
      <w:numFmt w:val="decimal"/>
      <w:lvlText w:val="%4."/>
      <w:lvlJc w:val="left"/>
      <w:pPr>
        <w:ind w:left="2880" w:hanging="360"/>
      </w:pPr>
    </w:lvl>
    <w:lvl w:ilvl="4" w:tplc="32738927" w:tentative="1">
      <w:start w:val="1"/>
      <w:numFmt w:val="lowerLetter"/>
      <w:lvlText w:val="%5."/>
      <w:lvlJc w:val="left"/>
      <w:pPr>
        <w:ind w:left="3600" w:hanging="360"/>
      </w:pPr>
    </w:lvl>
    <w:lvl w:ilvl="5" w:tplc="32738927" w:tentative="1">
      <w:start w:val="1"/>
      <w:numFmt w:val="lowerRoman"/>
      <w:lvlText w:val="%6."/>
      <w:lvlJc w:val="right"/>
      <w:pPr>
        <w:ind w:left="4320" w:hanging="180"/>
      </w:pPr>
    </w:lvl>
    <w:lvl w:ilvl="6" w:tplc="32738927" w:tentative="1">
      <w:start w:val="1"/>
      <w:numFmt w:val="decimal"/>
      <w:lvlText w:val="%7."/>
      <w:lvlJc w:val="left"/>
      <w:pPr>
        <w:ind w:left="5040" w:hanging="360"/>
      </w:pPr>
    </w:lvl>
    <w:lvl w:ilvl="7" w:tplc="32738927" w:tentative="1">
      <w:start w:val="1"/>
      <w:numFmt w:val="lowerLetter"/>
      <w:lvlText w:val="%8."/>
      <w:lvlJc w:val="left"/>
      <w:pPr>
        <w:ind w:left="5760" w:hanging="360"/>
      </w:pPr>
    </w:lvl>
    <w:lvl w:ilvl="8" w:tplc="32738927" w:tentative="1">
      <w:start w:val="1"/>
      <w:numFmt w:val="lowerRoman"/>
      <w:lvlText w:val="%9."/>
      <w:lvlJc w:val="right"/>
      <w:pPr>
        <w:ind w:left="6480" w:hanging="180"/>
      </w:pPr>
    </w:lvl>
  </w:abstractNum>
  <w:abstractNum w:abstractNumId="60006035">
    <w:multiLevelType w:val="hybridMultilevel"/>
    <w:lvl w:ilvl="0" w:tplc="1166578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0006035">
    <w:abstractNumId w:val="60006035"/>
  </w:num>
  <w:num w:numId="60006036">
    <w:abstractNumId w:val="60006036"/>
  </w:num>
  <w:num w:numId="715203914">
    <w:abstractNumId w:val="715203914"/>
  </w:num>
  <w:num w:numId="60006037">
    <w:abstractNumId w:val="60006037"/>
  </w:num>
  <w:num w:numId="81494087">
    <w:abstractNumId w:val="8149408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577615903" Type="http://schemas.openxmlformats.org/officeDocument/2006/relationships/numbering" Target="numbering.xml"/><Relationship Id="rId789467326"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