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99457433" w:name="document"/>
    <w:bookmarkEnd w:id="99457433"/>
    <w:p/>
    <w:p>
      <w:pPr>
        <w:widowControl w:val="on"/>
        <w:pBdr/>
        <w:spacing w:before="0" w:after="280" w:line="240" w:lineRule="auto"/>
        <w:ind w:left="0" w:right="0"/>
        <w:jc w:val="left"/>
      </w:pPr>
      <w:r>
        <w:rPr>
          <w:rFonts w:ascii="Arial" w:hAnsi="Arial" w:eastAsia="Arial" w:cs="Arial"/>
          <w:color w:val="363A40"/>
          <w:sz w:val="24"/>
          <w:szCs w:val="24"/>
        </w:rPr>
        <w:t xml:space="preserve">Dokument-ID: 1183826 | Wolfgang Schöberl |
Muster | Schriftsatzmuster</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Klage auf Unterlassung der widmungswidrigen Verwendung eines
Wohnungseigentumsobjektes</w:t>
      </w:r>
    </w:p>
    <w:p>
      <w:pPr>
        <w:widowControl w:val="on"/>
        <w:pBdr/>
        <w:spacing w:before="140" w:after="240" w:line="288" w:lineRule="auto"/>
        <w:ind w:left="0" w:right="0"/>
        <w:jc w:val="left"/>
      </w:pPr>
      <w:r>
        <w:rPr>
          <w:rFonts w:ascii="Arial" w:hAnsi="Arial" w:eastAsia="Arial" w:cs="Arial"/>
          <w:b/>
          <w:bCs/>
          <w:color w:val="000000"/>
          <w:sz w:val="20"/>
          <w:szCs w:val="20"/>
        </w:rPr>
        <w:t xml:space="preserve">Vorbemerkungen</w:t>
      </w:r>
      <w:r>
        <w:rPr>
          <w:rFonts w:ascii="Arial" w:hAnsi="Arial" w:eastAsia="Arial" w:cs="Arial"/>
          <w:color w:val="000000"/>
          <w:sz w:val="20"/>
          <w:szCs w:val="20"/>
        </w:rPr>
        <w:br/>
        <w:t xml:space="preserve">Ein Wohnungseigentumsobjekt darf nur innerhalb der Widmung
verwendet werden, die sich aus dem Wohnungseigentumsvertrag im
Zusammenhalt mit dem Nutzwertgutachten ergibt. Bei widmungswidriger
Verwendung hat jeder andere Wohnungseigentümer einen
Unterlassungsanspruch, der im streitigen Rechtsweg geltend zu
machen ist. Was dabei zu beachten ist, wird im nachstehenden Muster
gezeigt.</w:t>
      </w:r>
    </w:p>
    <w:p>
      <w:r>
        <w:pict>
          <v:rect id="_x0000_i1026" style="width:0;height:1.5pt" o:hralign="center" o:hrstd="t" o:hr="t" o:hrnoshade="t" fillcolor="#a0a0a0" stroked="f"/>
        </w:pict>
      </w:r>
    </w:p>
    <w:p>
      <w:pPr>
        <w:widowControl w:val="on"/>
        <w:pBdr/>
        <w:spacing w:before="140" w:after="240" w:line="288" w:lineRule="auto"/>
        <w:ind w:left="0" w:right="0"/>
        <w:jc w:val="right"/>
      </w:pPr>
      <w:r>
        <w:rPr>
          <w:rFonts w:ascii="Arial" w:hAnsi="Arial" w:eastAsia="Arial" w:cs="Arial"/>
          <w:color w:val="000000"/>
          <w:sz w:val="20"/>
          <w:szCs w:val="20"/>
        </w:rPr>
        <w:t xml:space="preserve">Gebühreneinzug:</w:t>
      </w:r>
      <w:r>
        <w:rPr>
          <w:rFonts w:ascii="Arial" w:hAnsi="Arial" w:eastAsia="Arial" w:cs="Arial"/>
          <w:color w:val="000000"/>
          <w:sz w:val="20"/>
          <w:szCs w:val="20"/>
        </w:rPr>
        <w:br/>
        <w:t xml:space="preserve">Über Konto: …</w:t>
      </w:r>
      <w:r>
        <w:rPr>
          <w:rFonts w:ascii="Arial" w:hAnsi="Arial" w:eastAsia="Arial" w:cs="Arial"/>
          <w:color w:val="000000"/>
          <w:sz w:val="20"/>
          <w:szCs w:val="20"/>
        </w:rPr>
        <w:br/>
        <w:t xml:space="preserve">Bei der … Bank</w:t>
      </w:r>
    </w:p>
    <w:p>
      <w:pPr>
        <w:widowControl w:val="on"/>
        <w:pBdr/>
        <w:spacing w:before="140" w:after="240" w:line="288" w:lineRule="auto"/>
        <w:ind w:left="0" w:right="0"/>
        <w:jc w:val="center"/>
      </w:pPr>
      <w:r>
        <w:rPr>
          <w:rFonts w:ascii="Arial" w:hAnsi="Arial" w:eastAsia="Arial" w:cs="Arial"/>
          <w:color w:val="000000"/>
          <w:sz w:val="20"/>
          <w:szCs w:val="20"/>
        </w:rPr>
        <w:t xml:space="preserve">Rechtsanwalt Dr. Wolfgang
Schöberl</w:t>
      </w:r>
      <w:r>
        <w:rPr>
          <w:rFonts w:ascii="Arial" w:hAnsi="Arial" w:eastAsia="Arial" w:cs="Arial"/>
          <w:color w:val="000000"/>
          <w:sz w:val="20"/>
          <w:szCs w:val="20"/>
        </w:rPr>
        <w:br/>
        <w:t xml:space="preserve">Universitätsstraße 11, 1010 Wien</w:t>
      </w:r>
    </w:p>
    <w:p>
      <w:pPr>
        <w:widowControl w:val="on"/>
        <w:pBdr/>
        <w:spacing w:before="140" w:after="240" w:line="288" w:lineRule="auto"/>
        <w:ind w:left="0" w:right="0"/>
        <w:jc w:val="left"/>
      </w:pPr>
      <w:r>
        <w:rPr>
          <w:rFonts w:ascii="Arial" w:hAnsi="Arial" w:eastAsia="Arial" w:cs="Arial"/>
          <w:color w:val="000000"/>
          <w:sz w:val="20"/>
          <w:szCs w:val="20"/>
        </w:rPr>
        <w:t xml:space="preserve">per WebERV</w:t>
      </w:r>
    </w:p>
    <w:p>
      <w:pPr>
        <w:widowControl w:val="on"/>
        <w:pBdr/>
        <w:spacing w:before="140" w:after="240" w:line="288" w:lineRule="auto"/>
        <w:ind w:left="0" w:right="0"/>
        <w:jc w:val="left"/>
      </w:pPr>
      <w:r>
        <w:rPr>
          <w:rFonts w:ascii="Arial" w:hAnsi="Arial" w:eastAsia="Arial" w:cs="Arial"/>
          <w:color w:val="000000"/>
          <w:sz w:val="20"/>
          <w:szCs w:val="20"/>
        </w:rPr>
        <w:t xml:space="preserve">An das Bezirksgericht Eisenstadt</w:t>
      </w:r>
      <w:r>
        <w:rPr>
          <w:rFonts w:ascii="Arial" w:hAnsi="Arial" w:eastAsia="Arial" w:cs="Arial"/>
          <w:color w:val="000000"/>
          <w:sz w:val="20"/>
          <w:szCs w:val="20"/>
        </w:rPr>
        <w:br/>
        <w:t xml:space="preserve">Wiener Straße 9</w:t>
      </w:r>
      <w:r>
        <w:rPr>
          <w:rFonts w:ascii="Arial" w:hAnsi="Arial" w:eastAsia="Arial" w:cs="Arial"/>
          <w:color w:val="000000"/>
          <w:sz w:val="20"/>
          <w:szCs w:val="20"/>
        </w:rPr>
        <w:br/>
        <w:t xml:space="preserve">7000 Eisenstadt</w:t>
      </w:r>
    </w:p>
    <w:p>
      <w:pPr>
        <w:widowControl w:val="on"/>
        <w:pBdr/>
        <w:spacing w:before="140" w:after="240" w:line="288" w:lineRule="auto"/>
        <w:ind w:left="0" w:right="0"/>
        <w:jc w:val="right"/>
      </w:pPr>
      <w:r>
        <w:rPr>
          <w:rFonts w:ascii="Arial" w:hAnsi="Arial" w:eastAsia="Arial" w:cs="Arial"/>
          <w:color w:val="000000"/>
          <w:sz w:val="20"/>
          <w:szCs w:val="20"/>
        </w:rPr>
        <w:t xml:space="preserve">Wien, am 30.08.2023</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Kläger:</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Michael Müller</w:t>
            </w:r>
            <w:r>
              <w:rPr>
                <w:rFonts w:ascii="Arial" w:hAnsi="Arial" w:eastAsia="Arial" w:cs="Arial"/>
                <w:color w:val="000000"/>
                <w:position w:val="0"/>
                <w:sz w:val="20"/>
                <w:szCs w:val="20"/>
                <w:shd w:val="clear" w:color="auto" w:fill="FFFFFF"/>
              </w:rPr>
              <w:br/>
              <w:t xml:space="preserve">Oberer Weg 4/3</w:t>
            </w:r>
            <w:r>
              <w:rPr>
                <w:rFonts w:ascii="Arial" w:hAnsi="Arial" w:eastAsia="Arial" w:cs="Arial"/>
                <w:color w:val="000000"/>
                <w:position w:val="0"/>
                <w:sz w:val="20"/>
                <w:szCs w:val="20"/>
                <w:shd w:val="clear" w:color="auto" w:fill="FFFFFF"/>
              </w:rPr>
              <w:br/>
              <w:t xml:space="preserve">7000 Eisenstadt</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Vertreten durch:</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Dr. Wolfgang Schöberl</w:t>
            </w:r>
            <w:r>
              <w:rPr>
                <w:rFonts w:ascii="Arial" w:hAnsi="Arial" w:eastAsia="Arial" w:cs="Arial"/>
                <w:color w:val="000000"/>
                <w:position w:val="0"/>
                <w:sz w:val="20"/>
                <w:szCs w:val="20"/>
                <w:shd w:val="clear" w:color="auto" w:fill="FFFFFF"/>
              </w:rPr>
              <w:br/>
              <w:t xml:space="preserve">Universitätsstraße 11</w:t>
            </w:r>
            <w:r>
              <w:rPr>
                <w:rFonts w:ascii="Arial" w:hAnsi="Arial" w:eastAsia="Arial" w:cs="Arial"/>
                <w:color w:val="000000"/>
                <w:position w:val="0"/>
                <w:sz w:val="20"/>
                <w:szCs w:val="20"/>
                <w:shd w:val="clear" w:color="auto" w:fill="FFFFFF"/>
              </w:rPr>
              <w:br/>
              <w:t xml:space="preserve">1010 Wien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AVR Code: R…</w:t>
            </w:r>
            <w:r>
              <w:rPr>
                <w:rFonts w:ascii="Arial" w:hAnsi="Arial" w:eastAsia="Arial" w:cs="Arial"/>
                <w:color w:val="000000"/>
                <w:position w:val="0"/>
                <w:sz w:val="20"/>
                <w:szCs w:val="20"/>
                <w:shd w:val="clear" w:color="auto" w:fill="FFFFFF"/>
              </w:rPr>
              <w:br/>
              <w:t xml:space="preserve">unter Berufung auf die erteilte Vollmacht gem § 30 Abs 2
ZPO</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Beklagter:</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„Mini“ Supermarkt Betriebs GmbH</w:t>
            </w:r>
            <w:r>
              <w:rPr>
                <w:rFonts w:ascii="Arial" w:hAnsi="Arial" w:eastAsia="Arial" w:cs="Arial"/>
                <w:color w:val="000000"/>
                <w:position w:val="0"/>
                <w:sz w:val="20"/>
                <w:szCs w:val="20"/>
                <w:shd w:val="clear" w:color="auto" w:fill="FFFFFF"/>
              </w:rPr>
              <w:br/>
              <w:t xml:space="preserve">Gewerbestraße 14</w:t>
            </w:r>
            <w:r>
              <w:rPr>
                <w:rFonts w:ascii="Arial" w:hAnsi="Arial" w:eastAsia="Arial" w:cs="Arial"/>
                <w:color w:val="000000"/>
                <w:position w:val="0"/>
                <w:sz w:val="20"/>
                <w:szCs w:val="20"/>
                <w:shd w:val="clear" w:color="auto" w:fill="FFFFFF"/>
              </w:rPr>
              <w:br/>
              <w:t xml:space="preserve">7210 Mattersburg</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Wegen:</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Unterlassung der widmungswidrigen Verwendung eines
Wohnungseigentumsobjektes</w:t>
            </w:r>
            <w:r>
              <w:rPr>
                <w:rFonts w:ascii="Arial" w:hAnsi="Arial" w:eastAsia="Arial" w:cs="Arial"/>
                <w:color w:val="000000"/>
                <w:position w:val="0"/>
                <w:sz w:val="20"/>
                <w:szCs w:val="20"/>
                <w:shd w:val="clear" w:color="auto" w:fill="FFFFFF"/>
              </w:rPr>
              <w:br/>
              <w:t xml:space="preserve">Streitwert: EUR 7.000,– gem JN/GGG/RATG</w:t>
            </w:r>
          </w:p>
        </w:tc>
      </w:tr>
    </w:tbl>
    <w:p>
      <w:pPr>
        <w:widowControl w:val="on"/>
        <w:pBdr/>
        <w:spacing w:before="240" w:after="60" w:line="346" w:lineRule="auto"/>
        <w:ind w:left="0" w:right="0"/>
        <w:jc w:val="center"/>
        <w:outlineLvl w:val="1"/>
      </w:pPr>
      <w:r>
        <w:rPr>
          <w:rFonts w:ascii="Arial" w:hAnsi="Arial" w:eastAsia="Arial" w:cs="Arial"/>
          <w:b/>
          <w:bCs/>
          <w:color w:val="363A40"/>
          <w:sz w:val="28"/>
          <w:szCs w:val="28"/>
        </w:rPr>
        <w:t xml:space="preserve">Klage</w:t>
      </w:r>
    </w:p>
    <w:p>
      <w:pPr>
        <w:widowControl w:val="on"/>
        <w:pBdr/>
        <w:spacing w:before="140" w:after="240" w:line="288" w:lineRule="auto"/>
        <w:ind w:left="0" w:right="0"/>
        <w:jc w:val="right"/>
      </w:pPr>
      <w:r>
        <w:rPr>
          <w:rFonts w:ascii="Arial" w:hAnsi="Arial" w:eastAsia="Arial" w:cs="Arial"/>
          <w:color w:val="000000"/>
          <w:sz w:val="20"/>
          <w:szCs w:val="20"/>
        </w:rPr>
        <w:t xml:space="preserve">2-fach</w:t>
      </w:r>
      <w:r>
        <w:rPr>
          <w:rFonts w:ascii="Arial" w:hAnsi="Arial" w:eastAsia="Arial" w:cs="Arial"/>
          <w:color w:val="000000"/>
          <w:sz w:val="20"/>
          <w:szCs w:val="20"/>
        </w:rPr>
        <w:br/>
        <w:t xml:space="preserve">3 Beilagen</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Zuständigkeit</w:t>
      </w:r>
    </w:p>
    <w:p>
      <w:pPr>
        <w:widowControl w:val="on"/>
        <w:pBdr/>
        <w:spacing w:before="140" w:after="240" w:line="288" w:lineRule="auto"/>
        <w:ind w:left="0" w:right="0"/>
        <w:jc w:val="left"/>
      </w:pPr>
      <w:r>
        <w:rPr>
          <w:rFonts w:ascii="Arial" w:hAnsi="Arial" w:eastAsia="Arial" w:cs="Arial"/>
          <w:color w:val="000000"/>
          <w:sz w:val="20"/>
          <w:szCs w:val="20"/>
        </w:rPr>
        <w:t xml:space="preserve">Die Klage ist auf die Unterlassung der widmungswidrigen
Verwendung eines Wohnungseigentumsobjektes gerichtet. Dabei handelt
es sich um einen Ausfluss der Eigentumsfreiheitsklage nach
§ 523 ABGB. Da nach maßgeblicher Auffassung (so
</w:t>
      </w:r>
      <w:r>
        <w:rPr>
          <w:rFonts w:ascii="Arial" w:hAnsi="Arial" w:eastAsia="Arial" w:cs="Arial"/>
          <w:i/>
          <w:iCs/>
          <w:color w:val="000000"/>
          <w:sz w:val="20"/>
          <w:szCs w:val="20"/>
        </w:rPr>
        <w:t xml:space="preserve">Simotta</w:t>
      </w:r>
      <w:r>
        <w:rPr>
          <w:rFonts w:ascii="Arial" w:hAnsi="Arial" w:eastAsia="Arial" w:cs="Arial"/>
          <w:color w:val="000000"/>
          <w:sz w:val="20"/>
          <w:szCs w:val="20"/>
        </w:rPr>
        <w:t xml:space="preserve"> in </w:t>
      </w:r>
      <w:r>
        <w:rPr>
          <w:rFonts w:ascii="Arial" w:hAnsi="Arial" w:eastAsia="Arial" w:cs="Arial"/>
          <w:i/>
          <w:iCs/>
          <w:color w:val="000000"/>
          <w:sz w:val="20"/>
          <w:szCs w:val="20"/>
        </w:rPr>
        <w:t xml:space="preserve">Fasching/Konecny</w:t>
      </w:r>
      <w:r>
        <w:rPr>
          <w:rFonts w:ascii="Arial" w:hAnsi="Arial" w:eastAsia="Arial" w:cs="Arial"/>
          <w:color w:val="000000"/>
          <w:sz w:val="20"/>
          <w:szCs w:val="20"/>
        </w:rPr>
        <w:t xml:space="preserve">³ 1. Band § 81 JN
Rz 11) sämtliche Negatorienklagen, in welcher Ausprägung auch
immer, unter den ausschließlichen örtlichen Gerichtsstand der
belegenen Liegenschaft fallen (§ 81 JN), ist das angerufene
Gericht, in dessen Sprengel sich die bezughabende Liegenschaft
befindet, örtlich zuständig. Gem §§ 49 Abs 1 JN ist es
auch sachlich zuständig.</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Sachverhalt</w:t>
      </w:r>
    </w:p>
    <w:p>
      <w:pPr>
        <w:widowControl w:val="on"/>
        <w:pBdr/>
        <w:spacing w:before="140" w:after="240" w:line="288" w:lineRule="auto"/>
        <w:ind w:left="0" w:right="0"/>
        <w:jc w:val="left"/>
      </w:pPr>
      <w:r>
        <w:rPr>
          <w:rFonts w:ascii="Arial" w:hAnsi="Arial" w:eastAsia="Arial" w:cs="Arial"/>
          <w:color w:val="000000"/>
          <w:sz w:val="20"/>
          <w:szCs w:val="20"/>
        </w:rPr>
        <w:t xml:space="preserve">Der Kläger ist Eigentümer des Wohnungseigentumsobjektes Top 3
der Liegenschaft Oberer Weg 4, 7000 Eisenstadt (22/750stel-Anteile
der Liegenschaft EZ 4711 KG 12345 Eisenstadt, mit denen untrennbar
das Wohnungseigentum an Top 3 verbunden ist). Die Beklagte ist
Eigentümerin des Wohnungseigentumsobjektes Top 1 der vorgenannten
Liegenschaft (30/750stel-Anteile, mit denen untrennbar das
Wohnungseigentum an Top 1 verbunden ist). Dieses Objekt ist gem
Wohnungseigentumsvertrag als Gastronomielokal gewidmet. Seit
Errichtung des Hauses und Wohnungseigentumsbegründung, welche im
Jahr 2004 erfolgte, befand sich dort ein kleines Kaffeehaus. Im
Jahr 2023 kaufte die Beklagte jedoch das Objekt, und etablierte
dort eine Filiale ihrer Supermarktkette „Mini – Kauf günstig um die
Ecke“. Dies erfolgte ohne Zustimmung des Klägers (und der sonstigen
Miteigentümer). Die Nutzung als Supermarktfiliale ist für die
weiteren Wohnungseigentümer mit erheblichen Nachteilen verbunden:
es erfolgt schon frühmorgens Liefertätigkeit mit entsprechender
Geräuschkulisse, die Kundenfrequenz ist gegenüber dem Kaffeehaus
bei weitem gestiegen, und es fällt auch viel mehr Müll an (der von
der Beklagten nicht immer tagesaktuell weggeräumt wird).</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Beweis:</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PV des Klägers</w:t>
            </w:r>
            <w:r>
              <w:rPr>
                <w:rFonts w:ascii="Arial" w:hAnsi="Arial" w:eastAsia="Arial" w:cs="Arial"/>
                <w:color w:val="000000"/>
                <w:position w:val="0"/>
                <w:sz w:val="20"/>
                <w:szCs w:val="20"/>
                <w:shd w:val="clear" w:color="auto" w:fill="FFFFFF"/>
              </w:rPr>
              <w:br/>
              <w:t xml:space="preserve">hiemit vorgelegte Urkunden:</w:t>
            </w:r>
            <w:r>
              <w:rPr>
                <w:rFonts w:ascii="Arial" w:hAnsi="Arial" w:eastAsia="Arial" w:cs="Arial"/>
                <w:color w:val="000000"/>
                <w:position w:val="0"/>
                <w:sz w:val="20"/>
                <w:szCs w:val="20"/>
                <w:shd w:val="clear" w:color="auto" w:fill="FFFFFF"/>
              </w:rPr>
              <w:br/>
              <w:t xml:space="preserve">Grundbuchsauszug (Beilage ./A)</w:t>
            </w:r>
            <w:r>
              <w:rPr>
                <w:rFonts w:ascii="Arial" w:hAnsi="Arial" w:eastAsia="Arial" w:cs="Arial"/>
                <w:color w:val="000000"/>
                <w:position w:val="0"/>
                <w:sz w:val="20"/>
                <w:szCs w:val="20"/>
                <w:shd w:val="clear" w:color="auto" w:fill="FFFFFF"/>
              </w:rPr>
              <w:br/>
              <w:t xml:space="preserve">Wohnungseigentumsvertrag (Beilage ./B)</w:t>
            </w:r>
            <w:r>
              <w:rPr>
                <w:rFonts w:ascii="Arial" w:hAnsi="Arial" w:eastAsia="Arial" w:cs="Arial"/>
                <w:color w:val="000000"/>
                <w:position w:val="0"/>
                <w:sz w:val="20"/>
                <w:szCs w:val="20"/>
                <w:shd w:val="clear" w:color="auto" w:fill="FFFFFF"/>
              </w:rPr>
              <w:br/>
              <w:t xml:space="preserve">Nutzwertgutachten (Beilage ./C)</w:t>
            </w:r>
            <w:r>
              <w:rPr>
                <w:rFonts w:ascii="Arial" w:hAnsi="Arial" w:eastAsia="Arial" w:cs="Arial"/>
                <w:color w:val="000000"/>
                <w:position w:val="0"/>
                <w:sz w:val="20"/>
                <w:szCs w:val="20"/>
                <w:shd w:val="clear" w:color="auto" w:fill="FFFFFF"/>
              </w:rPr>
              <w:br/>
              <w:t xml:space="preserve">Lokalaugenschein</w:t>
            </w:r>
            <w:r>
              <w:rPr>
                <w:rFonts w:ascii="Arial" w:hAnsi="Arial" w:eastAsia="Arial" w:cs="Arial"/>
                <w:color w:val="000000"/>
                <w:position w:val="0"/>
                <w:sz w:val="20"/>
                <w:szCs w:val="20"/>
                <w:shd w:val="clear" w:color="auto" w:fill="FFFFFF"/>
              </w:rPr>
              <w:br/>
              <w:t xml:space="preserve">weitere Beweise, insbesondere Zeugen, vorbehalten</w:t>
            </w:r>
          </w:p>
        </w:tc>
      </w:tr>
    </w:tbl>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Rechtliche Würdigung</w:t>
      </w:r>
    </w:p>
    <w:p>
      <w:pPr>
        <w:widowControl w:val="on"/>
        <w:pBdr/>
        <w:spacing w:before="140" w:after="240" w:line="288" w:lineRule="auto"/>
        <w:ind w:left="0" w:right="0"/>
        <w:jc w:val="left"/>
      </w:pPr>
      <w:r>
        <w:rPr>
          <w:rFonts w:ascii="Arial" w:hAnsi="Arial" w:eastAsia="Arial" w:cs="Arial"/>
          <w:color w:val="000000"/>
          <w:sz w:val="20"/>
          <w:szCs w:val="20"/>
        </w:rPr>
        <w:t xml:space="preserve">Ein Wohnungseigentumsobjekt darf nur innerhalb der Widmung, die
sich aus dem Wohnungseigentumsvertrag im Zusammenhalt mit dem
Nutzwertgutachten ergibt, benutzt werden. Das klagsgegenständliche
Objekt ist als Gastronomielokal gewidmet. Von der Beklagten wurde
dort eine Supermarktfiliale eingerichtet. Dies stellt eine
eigenmächtige und unzulässige Widmungsänderung dar. Auch wenn in
diesem Verfahren gar nicht darüber zu befinden ist, so sei der
Vollständigkeit halber festgehalten, dass die Voraussetzungen für
eine Widmungsänderung gem § 16 Abs 2 Z 1 WEG 2002,
die von den übrigen Wohnungseigentümern zu dulden wäre (worüber
eine gesonderte Entscheidung im Außerstreitverfahren erwirkt werden
müsste) nicht vorliegen: Denn eine Beeinträchtigung schutzwürdiger
Interessen der übrigen Wohnungseigentümer ist zweifellos gegeben,
führt doch schon der Anlieferverkehr, der im Rahmen der
ursprünglichen Widmung als Gastronomielokal praktisch nicht
vorhanden war, zu Lärmimmissionen, die nicht hingenommen werden
müssen. Überdies ist die Kundenfrequenz stark angestiegen und es
sind aufgrund des Kundenverkehrs kaum mehr Parkplätze zu finden,
was ebenfalls eine Beeinträchtigung schutzwürdiger Interessen
darstellt.</w:t>
      </w:r>
    </w:p>
    <w:p>
      <w:pPr>
        <w:widowControl w:val="on"/>
        <w:pBdr/>
        <w:spacing w:before="140" w:after="240" w:line="288" w:lineRule="auto"/>
        <w:ind w:left="0" w:right="0"/>
        <w:jc w:val="left"/>
      </w:pPr>
      <w:r>
        <w:rPr>
          <w:rFonts w:ascii="Arial" w:hAnsi="Arial" w:eastAsia="Arial" w:cs="Arial"/>
          <w:color w:val="000000"/>
          <w:sz w:val="20"/>
          <w:szCs w:val="20"/>
        </w:rPr>
        <w:t xml:space="preserve">Selbst wenn die Beklagte sämtliche für den Betrieb der
Supermarktfiliale erforderlichen gewerberechtlichen und sonstigen
Genehmigungen erlangt haben sollte, führt dies nicht zu einer in
wohnungseigentumsrechtlicher Hinsicht zulässigen Widmungsänderung,
da die wohnungseigentumsrechtliche Ebene und die
öffentlich-rechtliche Ebene streng getrennt zu betrachten sind.</w:t>
      </w:r>
    </w:p>
    <w:p>
      <w:pPr>
        <w:widowControl w:val="on"/>
        <w:pBdr/>
        <w:spacing w:before="140" w:after="240" w:line="288" w:lineRule="auto"/>
        <w:ind w:left="0" w:right="0"/>
        <w:jc w:val="left"/>
      </w:pPr>
      <w:r>
        <w:rPr>
          <w:rFonts w:ascii="Arial" w:hAnsi="Arial" w:eastAsia="Arial" w:cs="Arial"/>
          <w:color w:val="000000"/>
          <w:sz w:val="20"/>
          <w:szCs w:val="20"/>
        </w:rPr>
        <w:t xml:space="preserve">Der Anspruch auf Unterlassung der widmungswidrigen Verwendung
eines Wohnungseigentumsobjektes ist – als Ausfluss der
Eigentumsfreiheitsklage gem § 523 ABGB – im streitigen
Rechtsweg geltend zu machen (und sohin nicht im
wohnungseigentumsrechtlichen Außerstreitverfahren).</w:t>
      </w:r>
    </w:p>
    <w:p>
      <w:pPr>
        <w:widowControl w:val="on"/>
        <w:pBdr/>
        <w:spacing w:before="140" w:after="240" w:line="288" w:lineRule="auto"/>
        <w:ind w:left="0" w:right="0"/>
        <w:jc w:val="left"/>
      </w:pPr>
      <w:r>
        <w:rPr>
          <w:rFonts w:ascii="Arial" w:hAnsi="Arial" w:eastAsia="Arial" w:cs="Arial"/>
          <w:color w:val="000000"/>
          <w:sz w:val="20"/>
          <w:szCs w:val="20"/>
        </w:rPr>
        <w:t xml:space="preserve">Der Streitwert wird in Anlehnung an § 5 Z 33
lit b AHK mit EUR 7.000,– bewertet.</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Klagebegehren</w:t>
      </w:r>
    </w:p>
    <w:p>
      <w:pPr>
        <w:widowControl w:val="on"/>
        <w:pBdr/>
        <w:spacing w:before="140" w:after="240" w:line="288" w:lineRule="auto"/>
        <w:ind w:left="0" w:right="0"/>
        <w:jc w:val="left"/>
      </w:pPr>
      <w:r>
        <w:rPr>
          <w:rFonts w:ascii="Arial" w:hAnsi="Arial" w:eastAsia="Arial" w:cs="Arial"/>
          <w:color w:val="000000"/>
          <w:sz w:val="20"/>
          <w:szCs w:val="20"/>
        </w:rPr>
        <w:t xml:space="preserve">Der Kläger beantragt zu erlassen das nachstehende</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Urteil:</w:t>
      </w:r>
    </w:p>
    <w:p>
      <w:pPr>
        <w:numPr>
          <w:ilvl w:val="0"/>
          <w:numId w:val="669340418"/>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Der Beklagte ist schuldig, es ab sofort bei sonstiger Exekution
zu unterlassen, das Wohnungseigentumsobjekt Top 1 im Haus Oberer
Weg 4, 7000 Eisenstadt (30/750stel-Anteile der Liegenschaft EZ 4711
KG 12345 Eisenstadt, mit denen untrennbar Wohnungseigentum an Top 1
verbunden ist) zum Betrieb einer Supermarktfiliale zu
verwenden.</w:t>
      </w:r>
    </w:p>
    <w:p>
      <w:pPr>
        <w:numPr>
          <w:ilvl w:val="0"/>
          <w:numId w:val="669340418"/>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Der Beklagte ist schuldig, die Kosten dieses Rechtsstreits zu
Handen des Klagsvertreters gem § 19a RAO binnen 14 Tagen bei
sonstiger Exekution zu ersetzen.</w:t>
      </w:r>
    </w:p>
    <w:p>
      <w:r>
        <w:pict>
          <v:rect id="_x0000_i1026" style="width:0;height:1.5pt" o:hralign="center" o:hrstd="t" o:hr="t" o:hrnoshade="t" fillcolor="#a0a0a0" stroked="f"/>
        </w:pic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Anmerkungen:</w:t>
      </w:r>
    </w:p>
    <w:p>
      <w:pPr>
        <w:widowControl w:val="on"/>
        <w:pBdr/>
        <w:spacing w:before="140" w:after="240" w:line="288" w:lineRule="auto"/>
        <w:ind w:left="0" w:right="0"/>
        <w:jc w:val="left"/>
      </w:pPr>
      <w:r>
        <w:rPr>
          <w:rFonts w:ascii="Arial" w:hAnsi="Arial" w:eastAsia="Arial" w:cs="Arial"/>
          <w:b/>
          <w:bCs/>
          <w:color w:val="000000"/>
          <w:sz w:val="20"/>
          <w:szCs w:val="20"/>
        </w:rPr>
        <w:t xml:space="preserve">1</w:t>
      </w:r>
      <w:r>
        <w:rPr>
          <w:rFonts w:ascii="Arial" w:hAnsi="Arial" w:eastAsia="Arial" w:cs="Arial"/>
          <w:color w:val="000000"/>
          <w:sz w:val="20"/>
          <w:szCs w:val="20"/>
        </w:rPr>
        <w:br/>
        <w:t xml:space="preserve">Die Widmung eines Wohnungseigentumsobjektes ergibt sich
üblicherweise aus dem Wohnungseigentumsvertrag im Zusammenhalt mit
dem Nutzwertgutachten. (Daneben gibt es auch konkludente
Widmungsänderungen durch langjährige Übung, die von allen übrigen
Wohnungseigentümern – zumindest konkludent – zustimmend zur
Kenntnis genommen wird. In der Praxis ist die Beweisführung aber
relativ schwierig.)</w:t>
      </w:r>
    </w:p>
    <w:p>
      <w:pPr>
        <w:widowControl w:val="on"/>
        <w:pBdr/>
        <w:spacing w:before="140" w:after="240" w:line="288" w:lineRule="auto"/>
        <w:ind w:left="0" w:right="0"/>
        <w:jc w:val="left"/>
      </w:pPr>
      <w:r>
        <w:rPr>
          <w:rFonts w:ascii="Arial" w:hAnsi="Arial" w:eastAsia="Arial" w:cs="Arial"/>
          <w:b/>
          <w:bCs/>
          <w:color w:val="000000"/>
          <w:sz w:val="20"/>
          <w:szCs w:val="20"/>
        </w:rPr>
        <w:t xml:space="preserve">2</w:t>
      </w:r>
      <w:r>
        <w:rPr>
          <w:rFonts w:ascii="Arial" w:hAnsi="Arial" w:eastAsia="Arial" w:cs="Arial"/>
          <w:color w:val="000000"/>
          <w:sz w:val="20"/>
          <w:szCs w:val="20"/>
        </w:rPr>
        <w:br/>
        <w:t xml:space="preserve">Gem § 16 Abs 1 WEG 2002 ist der Wohnungseigentümer zur
Nutzung seines Wohnungseigentumsobjektes im Rahmen der bestehenden
Widmung berechtigt. Er darf sogar Widmungsänderungen vornehmen,
soweit diese insbesondere weder eine Schädigung des Hauses noch
eine Beeinträchtigung schutzwürdiger Interessen der anderen
Wohnungseigentümer zur Folge haben (§ 16 Abs 2 Z 1
WEG 2002). Liegen diese „Negativvoraussetzungen“ nicht vor, müssen
die übrigen Wohnungseigentümer die Widmungsänderung dulden (und
können im Außerstreitverfahren dazu verhalten werden). Sollte für
eine zulässige Änderung eine behördliche Bewilligung notwendig
sein, dürfen die übrigen Wohnungseigentümer ihre Zustimmung hiezu
nicht verweigern (§ 16 Abs 2 Z 3 WEG 2002). Durch
die Erfüllung der öffentlich-rechtlichen Kriterien für eine
Umwidmung ist aber freilich noch keine wohnungseigentumsrechtlich
relevante Umwidmung hergestellt: so berechtigt die Erwirkung einer
Baubewilligung zur Umwidmung eines zu Wohnzwecken gewidmeten
Wohnungseigentumsobjektes in ein Büro in
wohnungseigentumsrechtlicher Hinsicht noch nicht zur Verwendung als
Büro.</w:t>
      </w:r>
    </w:p>
    <w:p>
      <w:pPr>
        <w:widowControl w:val="on"/>
        <w:pBdr/>
        <w:spacing w:before="140" w:after="240" w:line="288" w:lineRule="auto"/>
        <w:ind w:left="0" w:right="0"/>
        <w:jc w:val="left"/>
      </w:pPr>
      <w:r>
        <w:rPr>
          <w:rFonts w:ascii="Arial" w:hAnsi="Arial" w:eastAsia="Arial" w:cs="Arial"/>
          <w:b/>
          <w:bCs/>
          <w:color w:val="000000"/>
          <w:sz w:val="20"/>
          <w:szCs w:val="20"/>
        </w:rPr>
        <w:t xml:space="preserve">3</w:t>
      </w:r>
      <w:r>
        <w:rPr>
          <w:rFonts w:ascii="Arial" w:hAnsi="Arial" w:eastAsia="Arial" w:cs="Arial"/>
          <w:color w:val="000000"/>
          <w:sz w:val="20"/>
          <w:szCs w:val="20"/>
        </w:rPr>
        <w:br/>
        <w:t xml:space="preserve">Die widmungswidrige Verwendung begründet einen
Unterlassungsanspruch jedes einzelnen übrigen Wohnungseigentümers,
der im streitigen Rechtsweg geltend zu machen ist: es handelt sich
nämlich um einen Ausfluss der Eigentumsfreiheitsklage (§ 523
ABGB). Ist der Beklagte der Auffassung, dass die Widmungsänderung
gem § 16 Abs 2 Z 1 WEG 2002 berechtigt ist, wird er
gut daran tun, im Außerstreitverfahren einen Antrag auf Duldung der
Änderung zu stellen (§ 52 Abs 1 Z 2 WEG 2002), und
die Unterbrechung des streitigen Verfahrens bis zur Entscheidung zu
beantragen. Im Mustersachverhalt liegen die Voraussetzungen des
§ 16 Abs 2 Z 1 WEG 2002 aber nicht vor.</w:t>
      </w:r>
    </w:p>
    <w:p>
      <w:pPr>
        <w:widowControl w:val="on"/>
        <w:pBdr/>
        <w:spacing w:before="140" w:after="240" w:line="288" w:lineRule="auto"/>
        <w:ind w:left="0" w:right="0"/>
        <w:jc w:val="left"/>
      </w:pPr>
      <w:r>
        <w:rPr>
          <w:rFonts w:ascii="Arial" w:hAnsi="Arial" w:eastAsia="Arial" w:cs="Arial"/>
          <w:b/>
          <w:bCs/>
          <w:color w:val="000000"/>
          <w:sz w:val="20"/>
          <w:szCs w:val="20"/>
        </w:rPr>
        <w:t xml:space="preserve">4</w:t>
      </w:r>
      <w:r>
        <w:rPr>
          <w:rFonts w:ascii="Arial" w:hAnsi="Arial" w:eastAsia="Arial" w:cs="Arial"/>
          <w:color w:val="000000"/>
          <w:sz w:val="20"/>
          <w:szCs w:val="20"/>
        </w:rPr>
        <w:br/>
        <w:t xml:space="preserve">Die örtliche Zuständigkeit richtet sich nach § 81 JN, es ist
jenes Gericht zuständig, in dessen Sprengel sich die Liegenschaft
befindet. Hinsichtlich der sachlichen Zuständigkeit greift die
Wertzuständigkeit, bei einem EUR 15.000,– übersteigenden
Streitwert wäre sohin das Landesgericht zuständig (es handelt sich
um keine Eigenzuständigkeit des Bezirksgerichtes!).</w:t>
      </w:r>
    </w:p>
    <w:p>
      <w:pPr>
        <w:widowControl w:val="on"/>
        <w:pBdr/>
        <w:spacing w:before="140" w:after="240" w:line="288" w:lineRule="auto"/>
        <w:ind w:left="0" w:right="0"/>
        <w:jc w:val="left"/>
      </w:pPr>
      <w:r>
        <w:rPr>
          <w:rFonts w:ascii="Arial" w:hAnsi="Arial" w:eastAsia="Arial" w:cs="Arial"/>
          <w:b/>
          <w:bCs/>
          <w:color w:val="000000"/>
          <w:sz w:val="20"/>
          <w:szCs w:val="20"/>
        </w:rPr>
        <w:t xml:space="preserve">5</w:t>
      </w:r>
      <w:r>
        <w:rPr>
          <w:rFonts w:ascii="Arial" w:hAnsi="Arial" w:eastAsia="Arial" w:cs="Arial"/>
          <w:color w:val="000000"/>
          <w:sz w:val="20"/>
          <w:szCs w:val="20"/>
        </w:rPr>
        <w:br/>
        <w:t xml:space="preserve">Der Streitwert kann frei bewertet werden. Nimmt der Kläger keine
Bewertung vor, kommt der „Zweifelsstreitwert“ des § 56
Abs 2 JN zur Anwendung. Im Musterbeispiel wurde der Streitwert
in Anlehnung an § 5 Z 33 lit b AHK
(Wohnungseigentumssachen, soweit es sich nicht um wiederkehrende
Leistungen handelt) mit EUR 7.000,– bewertet.</w:t>
      </w:r>
    </w:p>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69340418">
    <w:multiLevelType w:val="hybridMultilevel"/>
    <w:lvl w:ilvl="0">
      <w:start w:val="1"/>
      <w:numFmt w:val="decimal"/>
      <w:lvlText w:val="%1."/>
      <w:lvlJc w:val="left"/>
      <w:pPr>
        <w:ind w:left="720" w:hanging="360"/>
      </w:pPr>
      <w:rPr/>
    </w:lvl>
    <w:lvl w:ilvl="1">
      <w:start w:val=""/>
      <w:numFmt w:val="decimal"/>
      <w:lvlText w:val="%2."/>
      <w:lvlJc w:val="left"/>
      <w:pPr>
        <w:ind w:left="1440" w:hanging="360"/>
      </w:pPr>
      <w:rPr/>
    </w:lvl>
    <w:lvl w:ilvl="2">
      <w:start w:val=""/>
      <w:numFmt w:val="decimal"/>
      <w:lvlText w:val="%3."/>
      <w:lvlJc w:val="left"/>
      <w:pPr>
        <w:ind w:left="2160" w:hanging="360"/>
      </w:pPr>
      <w:rPr/>
    </w:lvl>
    <w:lvl w:ilvl="3">
      <w:start w:val=""/>
      <w:numFmt w:val="decimal"/>
      <w:lvlText w:val="%4."/>
      <w:lvlJc w:val="left"/>
      <w:pPr>
        <w:ind w:left="2880" w:hanging="360"/>
      </w:pPr>
      <w:rPr/>
    </w:lvl>
    <w:lvl w:ilvl="4">
      <w:start w:val=""/>
      <w:numFmt w:val="decimal"/>
      <w:lvlText w:val="%5."/>
      <w:lvlJc w:val="left"/>
      <w:pPr>
        <w:ind w:left="3600" w:hanging="360"/>
      </w:pPr>
      <w:rPr/>
    </w:lvl>
    <w:lvl w:ilvl="5">
      <w:start w:val=""/>
      <w:numFmt w:val="decimal"/>
      <w:lvlText w:val="%6."/>
      <w:lvlJc w:val="left"/>
      <w:pPr>
        <w:ind w:left="4320" w:hanging="360"/>
      </w:pPr>
      <w:rPr/>
    </w:lvl>
    <w:lvl w:ilvl="6">
      <w:start w:val=""/>
      <w:numFmt w:val="decimal"/>
      <w:lvlText w:val="%7."/>
      <w:lvlJc w:val="left"/>
      <w:pPr>
        <w:ind w:left="5040" w:hanging="360"/>
      </w:pPr>
      <w:rPr/>
    </w:lvl>
    <w:lvl w:ilvl="7">
      <w:start w:val=""/>
      <w:numFmt w:val="decimal"/>
      <w:lvlText w:val="%8."/>
      <w:lvlJc w:val="left"/>
      <w:pPr>
        <w:ind w:left="5760" w:hanging="360"/>
      </w:pPr>
      <w:rPr/>
    </w:lvl>
    <w:lvl w:ilvl="8">
      <w:start w:val=""/>
      <w:numFmt w:val="decimal"/>
      <w:lvlText w:val="%9."/>
      <w:lvlJc w:val="left"/>
      <w:pPr>
        <w:ind w:left="6480" w:hanging="360"/>
      </w:pPr>
      <w:rPr/>
    </w:lvl>
  </w:abstractNum>
  <w:abstractNum w:abstractNumId="68987817">
    <w:multiLevelType w:val="hybridMultilevel"/>
    <w:lvl w:ilvl="0" w:tplc="38613395">
      <w:start w:val="1"/>
      <w:numFmt w:val="decimal"/>
      <w:lvlText w:val="%1."/>
      <w:lvlJc w:val="left"/>
      <w:pPr>
        <w:ind w:left="720" w:hanging="360"/>
      </w:pPr>
    </w:lvl>
    <w:lvl w:ilvl="1" w:tplc="38613395" w:tentative="1">
      <w:start w:val="1"/>
      <w:numFmt w:val="lowerLetter"/>
      <w:lvlText w:val="%2."/>
      <w:lvlJc w:val="left"/>
      <w:pPr>
        <w:ind w:left="1440" w:hanging="360"/>
      </w:pPr>
    </w:lvl>
    <w:lvl w:ilvl="2" w:tplc="38613395" w:tentative="1">
      <w:start w:val="1"/>
      <w:numFmt w:val="lowerRoman"/>
      <w:lvlText w:val="%3."/>
      <w:lvlJc w:val="right"/>
      <w:pPr>
        <w:ind w:left="2160" w:hanging="180"/>
      </w:pPr>
    </w:lvl>
    <w:lvl w:ilvl="3" w:tplc="38613395" w:tentative="1">
      <w:start w:val="1"/>
      <w:numFmt w:val="decimal"/>
      <w:lvlText w:val="%4."/>
      <w:lvlJc w:val="left"/>
      <w:pPr>
        <w:ind w:left="2880" w:hanging="360"/>
      </w:pPr>
    </w:lvl>
    <w:lvl w:ilvl="4" w:tplc="38613395" w:tentative="1">
      <w:start w:val="1"/>
      <w:numFmt w:val="lowerLetter"/>
      <w:lvlText w:val="%5."/>
      <w:lvlJc w:val="left"/>
      <w:pPr>
        <w:ind w:left="3600" w:hanging="360"/>
      </w:pPr>
    </w:lvl>
    <w:lvl w:ilvl="5" w:tplc="38613395" w:tentative="1">
      <w:start w:val="1"/>
      <w:numFmt w:val="lowerRoman"/>
      <w:lvlText w:val="%6."/>
      <w:lvlJc w:val="right"/>
      <w:pPr>
        <w:ind w:left="4320" w:hanging="180"/>
      </w:pPr>
    </w:lvl>
    <w:lvl w:ilvl="6" w:tplc="38613395" w:tentative="1">
      <w:start w:val="1"/>
      <w:numFmt w:val="decimal"/>
      <w:lvlText w:val="%7."/>
      <w:lvlJc w:val="left"/>
      <w:pPr>
        <w:ind w:left="5040" w:hanging="360"/>
      </w:pPr>
    </w:lvl>
    <w:lvl w:ilvl="7" w:tplc="38613395" w:tentative="1">
      <w:start w:val="1"/>
      <w:numFmt w:val="lowerLetter"/>
      <w:lvlText w:val="%8."/>
      <w:lvlJc w:val="left"/>
      <w:pPr>
        <w:ind w:left="5760" w:hanging="360"/>
      </w:pPr>
    </w:lvl>
    <w:lvl w:ilvl="8" w:tplc="38613395" w:tentative="1">
      <w:start w:val="1"/>
      <w:numFmt w:val="lowerRoman"/>
      <w:lvlText w:val="%9."/>
      <w:lvlJc w:val="right"/>
      <w:pPr>
        <w:ind w:left="6480" w:hanging="180"/>
      </w:pPr>
    </w:lvl>
  </w:abstractNum>
  <w:abstractNum w:abstractNumId="120669894">
    <w:multiLevelType w:val="hybridMultilevel"/>
    <w:lvl w:ilvl="0">
      <w:start w:val="1"/>
      <w:numFmt w:val="decimal"/>
      <w:lvlText w:val="%1."/>
      <w:lvlJc w:val="left"/>
      <w:pPr>
        <w:ind w:left="720" w:hanging="360"/>
      </w:pPr>
      <w:rPr/>
    </w:lvl>
    <w:lvl w:ilvl="1">
      <w:start w:val=""/>
      <w:numFmt w:val="decimal"/>
      <w:lvlText w:val="%2."/>
      <w:lvlJc w:val="left"/>
      <w:pPr>
        <w:ind w:left="1440" w:hanging="360"/>
      </w:pPr>
      <w:rPr/>
    </w:lvl>
    <w:lvl w:ilvl="2">
      <w:start w:val=""/>
      <w:numFmt w:val="decimal"/>
      <w:lvlText w:val="%3."/>
      <w:lvlJc w:val="left"/>
      <w:pPr>
        <w:ind w:left="2160" w:hanging="360"/>
      </w:pPr>
      <w:rPr/>
    </w:lvl>
    <w:lvl w:ilvl="3">
      <w:start w:val=""/>
      <w:numFmt w:val="decimal"/>
      <w:lvlText w:val="%4."/>
      <w:lvlJc w:val="left"/>
      <w:pPr>
        <w:ind w:left="2880" w:hanging="360"/>
      </w:pPr>
      <w:rPr/>
    </w:lvl>
    <w:lvl w:ilvl="4">
      <w:start w:val=""/>
      <w:numFmt w:val="decimal"/>
      <w:lvlText w:val="%5."/>
      <w:lvlJc w:val="left"/>
      <w:pPr>
        <w:ind w:left="3600" w:hanging="360"/>
      </w:pPr>
      <w:rPr/>
    </w:lvl>
    <w:lvl w:ilvl="5">
      <w:start w:val=""/>
      <w:numFmt w:val="decimal"/>
      <w:lvlText w:val="%6."/>
      <w:lvlJc w:val="left"/>
      <w:pPr>
        <w:ind w:left="4320" w:hanging="360"/>
      </w:pPr>
      <w:rPr/>
    </w:lvl>
    <w:lvl w:ilvl="6">
      <w:start w:val=""/>
      <w:numFmt w:val="decimal"/>
      <w:lvlText w:val="%7."/>
      <w:lvlJc w:val="left"/>
      <w:pPr>
        <w:ind w:left="5040" w:hanging="360"/>
      </w:pPr>
      <w:rPr/>
    </w:lvl>
    <w:lvl w:ilvl="7">
      <w:start w:val=""/>
      <w:numFmt w:val="decimal"/>
      <w:lvlText w:val="%8."/>
      <w:lvlJc w:val="left"/>
      <w:pPr>
        <w:ind w:left="5760" w:hanging="360"/>
      </w:pPr>
      <w:rPr/>
    </w:lvl>
    <w:lvl w:ilvl="8">
      <w:start w:val=""/>
      <w:numFmt w:val="decimal"/>
      <w:lvlText w:val="%9."/>
      <w:lvlJc w:val="left"/>
      <w:pPr>
        <w:ind w:left="6480" w:hanging="360"/>
      </w:pPr>
      <w:rPr/>
    </w:lvl>
  </w:abstractNum>
  <w:abstractNum w:abstractNumId="68987816">
    <w:multiLevelType w:val="hybridMultilevel"/>
    <w:lvl w:ilvl="0" w:tplc="60151204">
      <w:start w:val="1"/>
      <w:numFmt w:val="decimal"/>
      <w:lvlText w:val="%1."/>
      <w:lvlJc w:val="left"/>
      <w:pPr>
        <w:ind w:left="720" w:hanging="360"/>
      </w:pPr>
    </w:lvl>
    <w:lvl w:ilvl="1" w:tplc="60151204" w:tentative="1">
      <w:start w:val="1"/>
      <w:numFmt w:val="lowerLetter"/>
      <w:lvlText w:val="%2."/>
      <w:lvlJc w:val="left"/>
      <w:pPr>
        <w:ind w:left="1440" w:hanging="360"/>
      </w:pPr>
    </w:lvl>
    <w:lvl w:ilvl="2" w:tplc="60151204" w:tentative="1">
      <w:start w:val="1"/>
      <w:numFmt w:val="lowerRoman"/>
      <w:lvlText w:val="%3."/>
      <w:lvlJc w:val="right"/>
      <w:pPr>
        <w:ind w:left="2160" w:hanging="180"/>
      </w:pPr>
    </w:lvl>
    <w:lvl w:ilvl="3" w:tplc="60151204" w:tentative="1">
      <w:start w:val="1"/>
      <w:numFmt w:val="decimal"/>
      <w:lvlText w:val="%4."/>
      <w:lvlJc w:val="left"/>
      <w:pPr>
        <w:ind w:left="2880" w:hanging="360"/>
      </w:pPr>
    </w:lvl>
    <w:lvl w:ilvl="4" w:tplc="60151204" w:tentative="1">
      <w:start w:val="1"/>
      <w:numFmt w:val="lowerLetter"/>
      <w:lvlText w:val="%5."/>
      <w:lvlJc w:val="left"/>
      <w:pPr>
        <w:ind w:left="3600" w:hanging="360"/>
      </w:pPr>
    </w:lvl>
    <w:lvl w:ilvl="5" w:tplc="60151204" w:tentative="1">
      <w:start w:val="1"/>
      <w:numFmt w:val="lowerRoman"/>
      <w:lvlText w:val="%6."/>
      <w:lvlJc w:val="right"/>
      <w:pPr>
        <w:ind w:left="4320" w:hanging="180"/>
      </w:pPr>
    </w:lvl>
    <w:lvl w:ilvl="6" w:tplc="60151204" w:tentative="1">
      <w:start w:val="1"/>
      <w:numFmt w:val="decimal"/>
      <w:lvlText w:val="%7."/>
      <w:lvlJc w:val="left"/>
      <w:pPr>
        <w:ind w:left="5040" w:hanging="360"/>
      </w:pPr>
    </w:lvl>
    <w:lvl w:ilvl="7" w:tplc="60151204" w:tentative="1">
      <w:start w:val="1"/>
      <w:numFmt w:val="lowerLetter"/>
      <w:lvlText w:val="%8."/>
      <w:lvlJc w:val="left"/>
      <w:pPr>
        <w:ind w:left="5760" w:hanging="360"/>
      </w:pPr>
    </w:lvl>
    <w:lvl w:ilvl="8" w:tplc="60151204" w:tentative="1">
      <w:start w:val="1"/>
      <w:numFmt w:val="lowerRoman"/>
      <w:lvlText w:val="%9."/>
      <w:lvlJc w:val="right"/>
      <w:pPr>
        <w:ind w:left="6480" w:hanging="180"/>
      </w:pPr>
    </w:lvl>
  </w:abstractNum>
  <w:abstractNum w:abstractNumId="68987815">
    <w:multiLevelType w:val="hybridMultilevel"/>
    <w:lvl w:ilvl="0" w:tplc="1217039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8987815">
    <w:abstractNumId w:val="68987815"/>
  </w:num>
  <w:num w:numId="68987816">
    <w:abstractNumId w:val="68987816"/>
  </w:num>
  <w:num w:numId="120669894">
    <w:abstractNumId w:val="120669894"/>
  </w:num>
  <w:num w:numId="68987817">
    <w:abstractNumId w:val="68987817"/>
  </w:num>
  <w:num w:numId="669340418">
    <w:abstractNumId w:val="6693404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889787509" Type="http://schemas.openxmlformats.org/officeDocument/2006/relationships/numbering" Target="numbering.xml"/><Relationship Id="rId506615204"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