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2427928" w:name="document"/>
    <w:bookmarkEnd w:id="92427928"/>
    <w:p/>
    <w:p>
      <w:pPr>
        <w:widowControl w:val="on"/>
        <w:pBdr/>
        <w:spacing w:before="0" w:after="280" w:line="240" w:lineRule="auto"/>
        <w:ind w:left="0" w:right="0"/>
        <w:jc w:val="left"/>
      </w:pPr>
      <w:r>
        <w:rPr>
          <w:rFonts w:ascii="Arial" w:hAnsi="Arial" w:eastAsia="Arial" w:cs="Arial"/>
          <w:color w:val="363A40"/>
          <w:sz w:val="24"/>
          <w:szCs w:val="24"/>
        </w:rPr>
        <w:t xml:space="preserve">Dokument-ID: 1183826 | Wolfgang Schöberl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Unterlassung der widmungswidrigen Verwendung eines
Wohnungseigentumsobjektes</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Ein Wohnungseigentumsobjekt darf nur innerhalb der Widmung
verwendet werden, die sich aus dem Wohnungseigentumsvertrag im
Zusammenhalt mit dem Nutzwertgutachten ergibt. Bei widmungswidriger
Verwendung hat jeder andere Wohnungseigentümer einen
Unterlassungsanspruch, der im streitigen Rechtsweg geltend zu
machen ist. Was dabei zu beachten ist, wird im nachstehenden Muster
gezeigt.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 Bezirksgericht Eisenstadt</w:t>
      </w:r>
      <w:r>
        <w:rPr>
          <w:rFonts w:ascii="Arial" w:hAnsi="Arial" w:eastAsia="Arial" w:cs="Arial"/>
          <w:color w:val="000000"/>
          <w:sz w:val="20"/>
          <w:szCs w:val="20"/>
        </w:rPr>
        <w:br/>
        <w:t xml:space="preserve">Wiener Straße 9</w:t>
      </w:r>
      <w:r>
        <w:rPr>
          <w:rFonts w:ascii="Arial" w:hAnsi="Arial" w:eastAsia="Arial" w:cs="Arial"/>
          <w:color w:val="000000"/>
          <w:sz w:val="20"/>
          <w:szCs w:val="20"/>
        </w:rPr>
        <w:br/>
        <w:t xml:space="preserve">7000 Eisenstadt</w:t>
      </w:r>
    </w:p>
    <w:p>
      <w:pPr>
        <w:widowControl w:val="on"/>
        <w:pBdr/>
        <w:spacing w:before="140" w:after="240" w:line="288" w:lineRule="auto"/>
        <w:ind w:left="0" w:right="0"/>
        <w:jc w:val="right"/>
      </w:pPr>
      <w:r>
        <w:rPr>
          <w:rFonts w:ascii="Arial" w:hAnsi="Arial" w:eastAsia="Arial" w:cs="Arial"/>
          <w:color w:val="000000"/>
          <w:sz w:val="20"/>
          <w:szCs w:val="20"/>
        </w:rPr>
        <w:t xml:space="preserve">Wien, am 30.08.2023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Müller</w:t>
            </w:r>
            <w:r>
              <w:rPr>
                <w:rFonts w:ascii="Arial" w:hAnsi="Arial" w:eastAsia="Arial" w:cs="Arial"/>
                <w:color w:val="000000"/>
                <w:position w:val="0"/>
                <w:sz w:val="20"/>
                <w:szCs w:val="20"/>
                <w:shd w:val="clear" w:color="auto" w:fill="FFFFFF"/>
              </w:rPr>
              <w:br/>
              <w:t xml:space="preserve">Oberer Weg 4/3</w:t>
            </w:r>
            <w:r>
              <w:rPr>
                <w:rFonts w:ascii="Arial" w:hAnsi="Arial" w:eastAsia="Arial" w:cs="Arial"/>
                <w:color w:val="000000"/>
                <w:position w:val="0"/>
                <w:sz w:val="20"/>
                <w:szCs w:val="20"/>
                <w:shd w:val="clear" w:color="auto" w:fill="FFFFFF"/>
              </w:rPr>
              <w:br/>
              <w:t xml:space="preserve">7000 Eisenstadt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„Mini“ Supermarkt Betriebs GmbH</w:t>
            </w:r>
            <w:r>
              <w:rPr>
                <w:rFonts w:ascii="Arial" w:hAnsi="Arial" w:eastAsia="Arial" w:cs="Arial"/>
                <w:color w:val="000000"/>
                <w:position w:val="0"/>
                <w:sz w:val="20"/>
                <w:szCs w:val="20"/>
                <w:shd w:val="clear" w:color="auto" w:fill="FFFFFF"/>
              </w:rPr>
              <w:br/>
              <w:t xml:space="preserve">Gewerbestraße 14</w:t>
            </w:r>
            <w:r>
              <w:rPr>
                <w:rFonts w:ascii="Arial" w:hAnsi="Arial" w:eastAsia="Arial" w:cs="Arial"/>
                <w:color w:val="000000"/>
                <w:position w:val="0"/>
                <w:sz w:val="20"/>
                <w:szCs w:val="20"/>
                <w:shd w:val="clear" w:color="auto" w:fill="FFFFFF"/>
              </w:rPr>
              <w:br/>
              <w:t xml:space="preserve">7210 Mattersburg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Unterlassung der widmungswidrigen Verwendung eines
Wohnungseigentumsobjektes</w:t>
            </w:r>
            <w:r>
              <w:rPr>
                <w:rFonts w:ascii="Arial" w:hAnsi="Arial" w:eastAsia="Arial" w:cs="Arial"/>
                <w:color w:val="000000"/>
                <w:position w:val="0"/>
                <w:sz w:val="20"/>
                <w:szCs w:val="20"/>
                <w:shd w:val="clear" w:color="auto" w:fill="FFFFFF"/>
              </w:rPr>
              <w:br/>
              <w:t xml:space="preserve">Streitwert: EUR 7.000,– gem JN/GGG/RATG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3 Beilagen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Die Klage ist auf die Unterlassung der widmungswidrigen
Verwendung eines Wohnungseigentumsobjektes gerichtet. Dabei handelt
es sich um einen Ausfluss der Eigentumsfreiheitsklage nach
§ 523 ABGB. Da nach maßgeblicher Auffassung (so
</w:t>
      </w:r>
      <w:r>
        <w:rPr>
          <w:rFonts w:ascii="Arial" w:hAnsi="Arial" w:eastAsia="Arial" w:cs="Arial"/>
          <w:i/>
          <w:iCs/>
          <w:color w:val="000000"/>
          <w:sz w:val="20"/>
          <w:szCs w:val="20"/>
        </w:rPr>
        <w:t xml:space="preserve">Simotta</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³ 1. Band § 81 JN
Rz 11) sämtliche Negatorienklagen, in welcher Ausprägung auch
immer, unter den ausschließlichen örtlichen Gerichtsstand der
belegenen Liegenschaft fallen (§ 81 JN), ist das angerufene
Gericht, in dessen Sprengel sich die bezughabende Liegenschaft
befindet, örtlich zuständig. Gem §§ 49 Abs 1 JN ist es
auch sachlich zuständig.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Der Kläger ist Eigentümer des Wohnungseigentumsobjektes Top 3
der Liegenschaft Oberer Weg 4, 7000 Eisenstadt (22/750stel-Anteile
der Liegenschaft EZ 4711 KG 12345 Eisenstadt, mit denen untrennbar
das Wohnungseigentum an Top 3 verbunden ist). Die Beklagte ist
Eigentümerin des Wohnungseigentumsobjektes Top 1 der vorgenannten
Liegenschaft (30/750stel-Anteile, mit denen untrennbar das
Wohnungseigentum an Top 1 verbunden ist). Dieses Objekt ist gem
Wohnungseigentumsvertrag als Gastronomielokal gewidmet. Seit
Errichtung des Hauses und Wohnungseigentumsbegründung, welche im
Jahr 2004 erfolgte, befand sich dort ein kleines Kaffeehaus. Im
Jahr 2023 kaufte die Beklagte jedoch das Objekt, und etablierte
dort eine Filiale ihrer Supermarktkette „Mini – Kauf günstig um die
Ecke“. Dies erfolgte ohne Zustimmung des Klägers (und der sonstigen
Miteigentümer). Die Nutzung als Supermarktfiliale ist für die
weiteren Wohnungseigentümer mit erheblichen Nachteilen verbunden:
es erfolgt schon frühmorgens Liefertätigkeit mit entsprechender
Geräuschkulisse, die Kundenfrequenz ist gegenüber dem Kaffeehaus
bei weitem gestiegen, und es fällt auch viel mehr Müll an (der von
der Beklagten nicht immer tagesaktuell weggeräumt wird).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hiemit vorgelegte Urkunden:</w:t>
            </w:r>
            <w:r>
              <w:rPr>
                <w:rFonts w:ascii="Arial" w:hAnsi="Arial" w:eastAsia="Arial" w:cs="Arial"/>
                <w:color w:val="000000"/>
                <w:position w:val="0"/>
                <w:sz w:val="20"/>
                <w:szCs w:val="20"/>
                <w:shd w:val="clear" w:color="auto" w:fill="FFFFFF"/>
              </w:rPr>
              <w:br/>
              <w:t xml:space="preserve">Grundbuchsauszug (Beilage ./A)</w:t>
            </w:r>
            <w:r>
              <w:rPr>
                <w:rFonts w:ascii="Arial" w:hAnsi="Arial" w:eastAsia="Arial" w:cs="Arial"/>
                <w:color w:val="000000"/>
                <w:position w:val="0"/>
                <w:sz w:val="20"/>
                <w:szCs w:val="20"/>
                <w:shd w:val="clear" w:color="auto" w:fill="FFFFFF"/>
              </w:rPr>
              <w:br/>
              <w:t xml:space="preserve">Wohnungseigentumsvertrag (Beilage ./B)</w:t>
            </w:r>
            <w:r>
              <w:rPr>
                <w:rFonts w:ascii="Arial" w:hAnsi="Arial" w:eastAsia="Arial" w:cs="Arial"/>
                <w:color w:val="000000"/>
                <w:position w:val="0"/>
                <w:sz w:val="20"/>
                <w:szCs w:val="20"/>
                <w:shd w:val="clear" w:color="auto" w:fill="FFFFFF"/>
              </w:rPr>
              <w:br/>
              <w:t xml:space="preserve">Nutzwertgutachten (Beilage ./C)</w:t>
            </w:r>
            <w:r>
              <w:rPr>
                <w:rFonts w:ascii="Arial" w:hAnsi="Arial" w:eastAsia="Arial" w:cs="Arial"/>
                <w:color w:val="000000"/>
                <w:position w:val="0"/>
                <w:sz w:val="20"/>
                <w:szCs w:val="20"/>
                <w:shd w:val="clear" w:color="auto" w:fill="FFFFFF"/>
              </w:rPr>
              <w:br/>
              <w:t xml:space="preserve">Lokalaugenschein</w:t>
            </w:r>
            <w:r>
              <w:rPr>
                <w:rFonts w:ascii="Arial" w:hAnsi="Arial" w:eastAsia="Arial" w:cs="Arial"/>
                <w:color w:val="000000"/>
                <w:position w:val="0"/>
                <w:sz w:val="20"/>
                <w:szCs w:val="20"/>
                <w:shd w:val="clear" w:color="auto" w:fill="FFFFFF"/>
              </w:rPr>
              <w:br/>
              <w:t xml:space="preserve">weitere Beweise, insbesondere Zeugen, vorbehalten</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Ein Wohnungseigentumsobjekt darf nur innerhalb der Widmung, die
sich aus dem Wohnungseigentumsvertrag im Zusammenhalt mit dem
Nutzwertgutachten ergibt, benutzt werden. Das klagsgegenständliche
Objekt ist als Gastronomielokal gewidmet. Von der Beklagten wurde
dort eine Supermarktfiliale eingerichtet. Dies stellt eine
eigenmächtige und unzulässige Widmungsänderung dar. Auch wenn in
diesem Verfahren gar nicht darüber zu befinden ist, so sei der
Vollständigkeit halber festgehalten, dass die Voraussetzungen für
eine Widmungsänderung gem § 16 Abs 2 Z 1 WEG 2002,
die von den übrigen Wohnungseigentümern zu dulden wäre (worüber
eine gesonderte Entscheidung im Außerstreitverfahren erwirkt werden
müsste) nicht vorliegen: Denn eine Beeinträchtigung schutzwürdiger
Interessen der übrigen Wohnungseigentümer ist zweifellos gegeben,
führt doch schon der Anlieferverkehr, der im Rahmen der
ursprünglichen Widmung als Gastronomielokal praktisch nicht
vorhanden war, zu Lärmimmissionen, die nicht hingenommen werden
müssen. Überdies ist die Kundenfrequenz stark angestiegen und es
sind aufgrund des Kundenverkehrs kaum mehr Parkplätze zu finden,
was ebenfalls eine Beeinträchtigung schutzwürdiger Interessen
darstellt.</w:t>
      </w:r>
    </w:p>
    <w:p>
      <w:pPr>
        <w:widowControl w:val="on"/>
        <w:pBdr/>
        <w:spacing w:before="140" w:after="240" w:line="288" w:lineRule="auto"/>
        <w:ind w:left="0" w:right="0"/>
        <w:jc w:val="left"/>
      </w:pPr>
      <w:r>
        <w:rPr>
          <w:rFonts w:ascii="Arial" w:hAnsi="Arial" w:eastAsia="Arial" w:cs="Arial"/>
          <w:color w:val="000000"/>
          <w:sz w:val="20"/>
          <w:szCs w:val="20"/>
        </w:rPr>
        <w:t xml:space="preserve">Selbst wenn die Beklagte sämtliche für den Betrieb der
Supermarktfiliale erforderlichen gewerberechtlichen und sonstigen
Genehmigungen erlangt haben sollte, führt dies nicht zu einer in
wohnungseigentumsrechtlicher Hinsicht zulässigen Widmungsänderung,
da die wohnungseigentumsrechtliche Ebene und die
öffentlich-rechtliche Ebene streng getrennt zu betrachten sind.</w:t>
      </w:r>
    </w:p>
    <w:p>
      <w:pPr>
        <w:widowControl w:val="on"/>
        <w:pBdr/>
        <w:spacing w:before="140" w:after="240" w:line="288" w:lineRule="auto"/>
        <w:ind w:left="0" w:right="0"/>
        <w:jc w:val="left"/>
      </w:pPr>
      <w:r>
        <w:rPr>
          <w:rFonts w:ascii="Arial" w:hAnsi="Arial" w:eastAsia="Arial" w:cs="Arial"/>
          <w:color w:val="000000"/>
          <w:sz w:val="20"/>
          <w:szCs w:val="20"/>
        </w:rPr>
        <w:t xml:space="preserve">Der Anspruch auf Unterlassung der widmungswidrigen Verwendung
eines Wohnungseigentumsobjektes ist – als Ausfluss der
Eigentumsfreiheitsklage gem § 523 ABGB – im streitigen
Rechtsweg geltend zu machen (und sohin nicht im
wohnungseigentumsrechtlichen Außerstreitverfahren).</w:t>
      </w:r>
    </w:p>
    <w:p>
      <w:pPr>
        <w:widowControl w:val="on"/>
        <w:pBdr/>
        <w:spacing w:before="140" w:after="240" w:line="288" w:lineRule="auto"/>
        <w:ind w:left="0" w:right="0"/>
        <w:jc w:val="left"/>
      </w:pPr>
      <w:r>
        <w:rPr>
          <w:rFonts w:ascii="Arial" w:hAnsi="Arial" w:eastAsia="Arial" w:cs="Arial"/>
          <w:color w:val="000000"/>
          <w:sz w:val="20"/>
          <w:szCs w:val="20"/>
        </w:rPr>
        <w:t xml:space="preserve">Der Streitwert wird in Anlehnung an § 5 Z 33
lit b AHK mit EUR 7.000,– bewertet.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Der Kläger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7905294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schuldig, es ab sofort bei sonstiger Exekution
zu unterlassen, das Wohnungseigentumsobjekt Top 1 im Haus Oberer
Weg 4, 7000 Eisenstadt (30/750stel-Anteile der Liegenschaft EZ 4711
KG 12345 Eisenstadt, mit denen untrennbar Wohnungseigentum an Top 1
verbunden ist) zum Betrieb einer Supermarktfiliale zu
verwenden.</w:t>
      </w:r>
    </w:p>
    <w:p>
      <w:pPr>
        <w:numPr>
          <w:ilvl w:val="0"/>
          <w:numId w:val="79052947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schuldig, die Kosten dieses Rechtsstreits zu
Handen des Klagsvertreters gem § 19a RAO binnen 14 Tagen bei
sonstiger Exekution zu ersetzen.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Widmung eines Wohnungseigentumsobjektes ergibt sich
üblicherweise aus dem Wohnungseigentumsvertrag im Zusammenhalt mit
dem Nutzwertgutachten. (Daneben gibt es auch konkludente
Widmungsänderungen durch langjährige Übung, die von allen übrigen
Wohnungseigentümern – zumindest konkludent – zustimmend zur
Kenntnis genommen wird. In der Praxis ist die Beweisführung aber
relativ schwierig.)</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Gem § 16 Abs 1 WEG 2002 ist der Wohnungseigentümer zur
Nutzung seines Wohnungseigentumsobjektes im Rahmen der bestehenden
Widmung berechtigt. Er darf sogar Widmungsänderungen vornehmen,
soweit diese insbesondere weder eine Schädigung des Hauses noch
eine Beeinträchtigung schutzwürdiger Interessen der anderen
Wohnungseigentümer zur Folge haben (§ 16 Abs 2 Z 1
WEG 2002). Liegen diese „Negativvoraussetzungen“ nicht vor, müssen
die übrigen Wohnungseigentümer die Widmungsänderung dulden (und
können im Außerstreitverfahren dazu verhalten werden). Sollte für
eine zulässige Änderung eine behördliche Bewilligung notwendig
sein, dürfen die übrigen Wohnungseigentümer ihre Zustimmung hiezu
nicht verweigern (§ 16 Abs 2 Z 3 WEG 2002). Durch
die Erfüllung der öffentlich-rechtlichen Kriterien für eine
Umwidmung ist aber freilich noch keine wohnungseigentumsrechtlich
relevante Umwidmung hergestellt: so berechtigt die Erwirkung einer
Baubewilligung zur Umwidmung eines zu Wohnzwecken gewidmeten
Wohnungseigentumsobjektes in ein Büro in
wohnungseigentumsrechtlicher Hinsicht noch nicht zur Verwendung als
Büro.</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Die widmungswidrige Verwendung begründet einen
Unterlassungsanspruch jedes einzelnen übrigen Wohnungseigentümers,
der im streitigen Rechtsweg geltend zu machen ist: es handelt sich
nämlich um einen Ausfluss der Eigentumsfreiheitsklage (§ 523
ABGB). Ist der Beklagte der Auffassung, dass die Widmungsänderung
gem § 16 Abs 2 Z 1 WEG 2002 berechtigt ist, wird er
gut daran tun, im Außerstreitverfahren einen Antrag auf Duldung der
Änderung zu stellen (§ 52 Abs 1 Z 2 WEG 2002), und
die Unterbrechung des streitigen Verfahrens bis zur Entscheidung zu
beantragen. Im Mustersachverhalt liegen die Voraussetzungen des
§ 16 Abs 2 Z 1 WEG 2002 aber nicht vor.</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Die örtliche Zuständigkeit richtet sich nach § 81 JN, es ist
jenes Gericht zuständig, in dessen Sprengel sich die Liegenschaft
befindet. Hinsichtlich der sachlichen Zuständigkeit greift die
Wertzuständigkeit, bei einem EUR 15.000,– übersteigenden
Streitwert wäre sohin das Landesgericht zuständig (es handelt sich
um keine Eigenzuständigkeit des Bezirksgerichtes!).</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Streitwert kann frei bewertet werden. Nimmt der Kläger keine
Bewertung vor, kommt der „Zweifelsstreitwert“ des § 56
Abs 2 JN zur Anwendung. Im Musterbeispiel wurde der Streitwert
in Anlehnung an § 5 Z 33 lit b AHK
(Wohnungseigentumssachen, soweit es sich nicht um wiederkehrende
Leistungen handelt) mit EUR 7.000,– bewertet.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052947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9305218">
    <w:multiLevelType w:val="hybridMultilevel"/>
    <w:lvl w:ilvl="0" w:tplc="72759144">
      <w:start w:val="1"/>
      <w:numFmt w:val="decimal"/>
      <w:lvlText w:val="%1."/>
      <w:lvlJc w:val="left"/>
      <w:pPr>
        <w:ind w:left="720" w:hanging="360"/>
      </w:pPr>
    </w:lvl>
    <w:lvl w:ilvl="1" w:tplc="72759144" w:tentative="1">
      <w:start w:val="1"/>
      <w:numFmt w:val="lowerLetter"/>
      <w:lvlText w:val="%2."/>
      <w:lvlJc w:val="left"/>
      <w:pPr>
        <w:ind w:left="1440" w:hanging="360"/>
      </w:pPr>
    </w:lvl>
    <w:lvl w:ilvl="2" w:tplc="72759144" w:tentative="1">
      <w:start w:val="1"/>
      <w:numFmt w:val="lowerRoman"/>
      <w:lvlText w:val="%3."/>
      <w:lvlJc w:val="right"/>
      <w:pPr>
        <w:ind w:left="2160" w:hanging="180"/>
      </w:pPr>
    </w:lvl>
    <w:lvl w:ilvl="3" w:tplc="72759144" w:tentative="1">
      <w:start w:val="1"/>
      <w:numFmt w:val="decimal"/>
      <w:lvlText w:val="%4."/>
      <w:lvlJc w:val="left"/>
      <w:pPr>
        <w:ind w:left="2880" w:hanging="360"/>
      </w:pPr>
    </w:lvl>
    <w:lvl w:ilvl="4" w:tplc="72759144" w:tentative="1">
      <w:start w:val="1"/>
      <w:numFmt w:val="lowerLetter"/>
      <w:lvlText w:val="%5."/>
      <w:lvlJc w:val="left"/>
      <w:pPr>
        <w:ind w:left="3600" w:hanging="360"/>
      </w:pPr>
    </w:lvl>
    <w:lvl w:ilvl="5" w:tplc="72759144" w:tentative="1">
      <w:start w:val="1"/>
      <w:numFmt w:val="lowerRoman"/>
      <w:lvlText w:val="%6."/>
      <w:lvlJc w:val="right"/>
      <w:pPr>
        <w:ind w:left="4320" w:hanging="180"/>
      </w:pPr>
    </w:lvl>
    <w:lvl w:ilvl="6" w:tplc="72759144" w:tentative="1">
      <w:start w:val="1"/>
      <w:numFmt w:val="decimal"/>
      <w:lvlText w:val="%7."/>
      <w:lvlJc w:val="left"/>
      <w:pPr>
        <w:ind w:left="5040" w:hanging="360"/>
      </w:pPr>
    </w:lvl>
    <w:lvl w:ilvl="7" w:tplc="72759144" w:tentative="1">
      <w:start w:val="1"/>
      <w:numFmt w:val="lowerLetter"/>
      <w:lvlText w:val="%8."/>
      <w:lvlJc w:val="left"/>
      <w:pPr>
        <w:ind w:left="5760" w:hanging="360"/>
      </w:pPr>
    </w:lvl>
    <w:lvl w:ilvl="8" w:tplc="72759144" w:tentative="1">
      <w:start w:val="1"/>
      <w:numFmt w:val="lowerRoman"/>
      <w:lvlText w:val="%9."/>
      <w:lvlJc w:val="right"/>
      <w:pPr>
        <w:ind w:left="6480" w:hanging="180"/>
      </w:pPr>
    </w:lvl>
  </w:abstractNum>
  <w:abstractNum w:abstractNumId="63052392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9305217">
    <w:multiLevelType w:val="hybridMultilevel"/>
    <w:lvl w:ilvl="0" w:tplc="90118421">
      <w:start w:val="1"/>
      <w:numFmt w:val="decimal"/>
      <w:lvlText w:val="%1."/>
      <w:lvlJc w:val="left"/>
      <w:pPr>
        <w:ind w:left="720" w:hanging="360"/>
      </w:pPr>
    </w:lvl>
    <w:lvl w:ilvl="1" w:tplc="90118421" w:tentative="1">
      <w:start w:val="1"/>
      <w:numFmt w:val="lowerLetter"/>
      <w:lvlText w:val="%2."/>
      <w:lvlJc w:val="left"/>
      <w:pPr>
        <w:ind w:left="1440" w:hanging="360"/>
      </w:pPr>
    </w:lvl>
    <w:lvl w:ilvl="2" w:tplc="90118421" w:tentative="1">
      <w:start w:val="1"/>
      <w:numFmt w:val="lowerRoman"/>
      <w:lvlText w:val="%3."/>
      <w:lvlJc w:val="right"/>
      <w:pPr>
        <w:ind w:left="2160" w:hanging="180"/>
      </w:pPr>
    </w:lvl>
    <w:lvl w:ilvl="3" w:tplc="90118421" w:tentative="1">
      <w:start w:val="1"/>
      <w:numFmt w:val="decimal"/>
      <w:lvlText w:val="%4."/>
      <w:lvlJc w:val="left"/>
      <w:pPr>
        <w:ind w:left="2880" w:hanging="360"/>
      </w:pPr>
    </w:lvl>
    <w:lvl w:ilvl="4" w:tplc="90118421" w:tentative="1">
      <w:start w:val="1"/>
      <w:numFmt w:val="lowerLetter"/>
      <w:lvlText w:val="%5."/>
      <w:lvlJc w:val="left"/>
      <w:pPr>
        <w:ind w:left="3600" w:hanging="360"/>
      </w:pPr>
    </w:lvl>
    <w:lvl w:ilvl="5" w:tplc="90118421" w:tentative="1">
      <w:start w:val="1"/>
      <w:numFmt w:val="lowerRoman"/>
      <w:lvlText w:val="%6."/>
      <w:lvlJc w:val="right"/>
      <w:pPr>
        <w:ind w:left="4320" w:hanging="180"/>
      </w:pPr>
    </w:lvl>
    <w:lvl w:ilvl="6" w:tplc="90118421" w:tentative="1">
      <w:start w:val="1"/>
      <w:numFmt w:val="decimal"/>
      <w:lvlText w:val="%7."/>
      <w:lvlJc w:val="left"/>
      <w:pPr>
        <w:ind w:left="5040" w:hanging="360"/>
      </w:pPr>
    </w:lvl>
    <w:lvl w:ilvl="7" w:tplc="90118421" w:tentative="1">
      <w:start w:val="1"/>
      <w:numFmt w:val="lowerLetter"/>
      <w:lvlText w:val="%8."/>
      <w:lvlJc w:val="left"/>
      <w:pPr>
        <w:ind w:left="5760" w:hanging="360"/>
      </w:pPr>
    </w:lvl>
    <w:lvl w:ilvl="8" w:tplc="90118421" w:tentative="1">
      <w:start w:val="1"/>
      <w:numFmt w:val="lowerRoman"/>
      <w:lvlText w:val="%9."/>
      <w:lvlJc w:val="right"/>
      <w:pPr>
        <w:ind w:left="6480" w:hanging="180"/>
      </w:pPr>
    </w:lvl>
  </w:abstractNum>
  <w:abstractNum w:abstractNumId="39305216">
    <w:multiLevelType w:val="hybridMultilevel"/>
    <w:lvl w:ilvl="0" w:tplc="45903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305216">
    <w:abstractNumId w:val="39305216"/>
  </w:num>
  <w:num w:numId="39305217">
    <w:abstractNumId w:val="39305217"/>
  </w:num>
  <w:num w:numId="630523927">
    <w:abstractNumId w:val="630523927"/>
  </w:num>
  <w:num w:numId="39305218">
    <w:abstractNumId w:val="39305218"/>
  </w:num>
  <w:num w:numId="790529478">
    <w:abstractNumId w:val="7905294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98207999" Type="http://schemas.openxmlformats.org/officeDocument/2006/relationships/numbering" Target="numbering.xml"/><Relationship Id="rId8909171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